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numPr>
          <w:ilvl w:val="0"/>
          <w:numId w:val="1"/>
        </w:numPr>
        <w:spacing w:before="0" w:after="0"/>
        <w:ind w:firstLine="0"/>
        <w:rPr>
          <w:rFonts w:ascii="微软雅黑" w:hAnsi="微软雅黑" w:eastAsia="微软雅黑" w:cs="微软雅黑"/>
        </w:rPr>
      </w:pPr>
      <w:bookmarkStart w:id="0" w:name="_Toc2612"/>
      <w:bookmarkStart w:id="1" w:name="_Toc18672"/>
      <w:bookmarkStart w:id="2" w:name="_Toc1081"/>
      <w:r>
        <w:rPr>
          <w:rFonts w:hint="eastAsia" w:ascii="微软雅黑" w:hAnsi="微软雅黑" w:eastAsia="微软雅黑" w:cs="微软雅黑"/>
        </w:rPr>
        <w:t>产品介绍</w:t>
      </w:r>
      <w:bookmarkEnd w:id="0"/>
      <w:bookmarkEnd w:id="1"/>
      <w:bookmarkEnd w:id="2"/>
    </w:p>
    <w:p>
      <w:pPr>
        <w:pStyle w:val="3"/>
        <w:numPr>
          <w:ilvl w:val="0"/>
          <w:numId w:val="2"/>
        </w:numPr>
        <w:spacing w:line="360" w:lineRule="auto"/>
        <w:rPr>
          <w:rFonts w:ascii="微软雅黑" w:hAnsi="微软雅黑" w:eastAsia="微软雅黑" w:cs="微软雅黑"/>
          <w:b w:val="0"/>
          <w:bCs w:val="0"/>
        </w:rPr>
      </w:pPr>
      <w:bookmarkStart w:id="3" w:name="_Toc26602"/>
      <w:bookmarkStart w:id="4" w:name="_Toc32052"/>
      <w:bookmarkStart w:id="5" w:name="_Toc22102"/>
      <w:r>
        <w:rPr>
          <w:rFonts w:hint="eastAsia" w:ascii="微软雅黑" w:hAnsi="微软雅黑" w:eastAsia="微软雅黑" w:cs="微软雅黑"/>
          <w:b w:val="0"/>
          <w:bCs w:val="0"/>
        </w:rPr>
        <w:t>产品简介</w:t>
      </w:r>
      <w:bookmarkEnd w:id="3"/>
      <w:bookmarkEnd w:id="4"/>
      <w:bookmarkEnd w:id="5"/>
    </w:p>
    <w:p>
      <w:pPr>
        <w:spacing w:line="360" w:lineRule="auto"/>
        <w:ind w:firstLine="480" w:firstLineChars="200"/>
        <w:rPr>
          <w:rFonts w:hint="eastAsia" w:ascii="微软雅黑" w:hAnsi="微软雅黑" w:eastAsia="微软雅黑" w:cs="微软雅黑"/>
          <w:sz w:val="24"/>
          <w:lang w:val="zh-CN"/>
        </w:rPr>
      </w:pPr>
      <w:r>
        <w:rPr>
          <w:rFonts w:hint="eastAsia" w:ascii="微软雅黑" w:hAnsi="微软雅黑" w:eastAsia="微软雅黑" w:cs="微软雅黑"/>
          <w:sz w:val="24"/>
          <w:lang w:val="zh-CN"/>
        </w:rPr>
        <w:t>职业全能培训库-就业创业技能提升平台（简称：职业全能培训库）是我国第一套围绕大学生毕业面临的各个发展方向，打造的一款全方位的应用型多媒体教育培训平台。</w:t>
      </w:r>
    </w:p>
    <w:p>
      <w:pPr>
        <w:spacing w:line="360" w:lineRule="auto"/>
        <w:ind w:firstLine="480" w:firstLineChars="200"/>
        <w:rPr>
          <w:rFonts w:hint="eastAsia" w:ascii="微软雅黑" w:hAnsi="微软雅黑" w:eastAsia="微软雅黑" w:cs="微软雅黑"/>
          <w:sz w:val="24"/>
          <w:lang w:val="zh-CN"/>
        </w:rPr>
      </w:pPr>
      <w:r>
        <w:rPr>
          <w:rFonts w:hint="eastAsia" w:ascii="微软雅黑" w:hAnsi="微软雅黑" w:eastAsia="微软雅黑" w:cs="微软雅黑"/>
          <w:sz w:val="24"/>
          <w:lang w:val="zh-CN"/>
        </w:rPr>
        <w:t>它服务于大学生职业生涯的全过程，根据大学生毕业后，五大发展方向：继续深造（考研、出国留学等）</w:t>
      </w:r>
      <w:bookmarkStart w:id="21" w:name="_GoBack"/>
      <w:bookmarkEnd w:id="21"/>
      <w:r>
        <w:rPr>
          <w:rFonts w:hint="eastAsia" w:ascii="微软雅黑" w:hAnsi="微软雅黑" w:eastAsia="微软雅黑" w:cs="微软雅黑"/>
          <w:sz w:val="24"/>
          <w:lang w:val="zh-CN"/>
        </w:rPr>
        <w:t>，公职考试，就业，创业。《职业全能培训库》以（自我认知—了解社会—明确方向—针对性学习）为主线，帮助学生在校期间做好职业规划，针对性的提高，更好地面对毕业。</w:t>
      </w:r>
    </w:p>
    <w:p>
      <w:pPr>
        <w:spacing w:line="360" w:lineRule="auto"/>
        <w:ind w:firstLine="480" w:firstLineChars="200"/>
        <w:rPr>
          <w:rFonts w:hint="eastAsia" w:ascii="微软雅黑" w:hAnsi="微软雅黑" w:eastAsia="微软雅黑" w:cs="微软雅黑"/>
          <w:sz w:val="24"/>
          <w:lang w:val="zh-CN"/>
        </w:rPr>
      </w:pPr>
      <w:r>
        <w:rPr>
          <w:rFonts w:hint="eastAsia" w:ascii="微软雅黑" w:hAnsi="微软雅黑" w:eastAsia="微软雅黑" w:cs="微软雅黑"/>
          <w:sz w:val="24"/>
          <w:lang w:val="zh-CN"/>
        </w:rPr>
        <w:t>《职业全能培训库》围绕：自我认知、了解社会、明确方向、针对性学习四个阶段，设计了对应的课程学习模块。</w:t>
      </w:r>
    </w:p>
    <w:p>
      <w:pPr>
        <w:spacing w:line="360" w:lineRule="auto"/>
        <w:ind w:firstLine="480" w:firstLineChars="200"/>
        <w:rPr>
          <w:rFonts w:hint="eastAsia" w:ascii="微软雅黑" w:hAnsi="微软雅黑" w:eastAsia="微软雅黑" w:cs="微软雅黑"/>
          <w:sz w:val="24"/>
          <w:lang w:val="zh-CN"/>
        </w:rPr>
      </w:pPr>
      <w:r>
        <w:rPr>
          <w:rFonts w:hint="eastAsia" w:ascii="微软雅黑" w:hAnsi="微软雅黑" w:eastAsia="微软雅黑" w:cs="微软雅黑"/>
          <w:sz w:val="24"/>
          <w:lang w:val="zh-CN"/>
        </w:rPr>
        <w:t>自我认知：平台提供了（职业性格特征测试、职业价值观测试、企业倾向测试、职业生涯成熟度测试）等四大测评模块，帮助学生对自我特质有所了解。</w:t>
      </w:r>
    </w:p>
    <w:p>
      <w:pPr>
        <w:spacing w:line="360" w:lineRule="auto"/>
        <w:ind w:firstLine="480" w:firstLineChars="200"/>
        <w:rPr>
          <w:rFonts w:hint="eastAsia" w:ascii="微软雅黑" w:hAnsi="微软雅黑" w:eastAsia="微软雅黑" w:cs="微软雅黑"/>
          <w:sz w:val="24"/>
          <w:lang w:val="zh-CN"/>
        </w:rPr>
      </w:pPr>
      <w:r>
        <w:rPr>
          <w:rFonts w:hint="eastAsia" w:ascii="微软雅黑" w:hAnsi="微软雅黑" w:eastAsia="微软雅黑" w:cs="微软雅黑"/>
          <w:sz w:val="24"/>
          <w:lang w:val="zh-CN"/>
        </w:rPr>
        <w:t>了解社会：平台设计了（岗位解读、企业解读、行业解读）三大模块，包含70余个热门行业，1000余家知名企业，10000余热点岗位信息。学生通过这个模块，可提前了解各个工作岗位的工作内容，知名企业相关资讯及招聘需求，帮助学生在校期间明确学习内容，针对性提高。</w:t>
      </w:r>
    </w:p>
    <w:p>
      <w:pPr>
        <w:spacing w:line="360" w:lineRule="auto"/>
        <w:ind w:firstLine="480" w:firstLineChars="200"/>
        <w:rPr>
          <w:rFonts w:hint="eastAsia" w:ascii="微软雅黑" w:hAnsi="微软雅黑" w:eastAsia="微软雅黑" w:cs="微软雅黑"/>
          <w:sz w:val="24"/>
          <w:lang w:val="zh-CN"/>
        </w:rPr>
      </w:pPr>
      <w:r>
        <w:rPr>
          <w:rFonts w:hint="eastAsia" w:ascii="微软雅黑" w:hAnsi="微软雅黑" w:eastAsia="微软雅黑" w:cs="微软雅黑"/>
          <w:sz w:val="24"/>
          <w:lang w:val="zh-CN"/>
        </w:rPr>
        <w:t>明确方向：学生通过自我认知和社会岗位的出版了解，结合自身的兴趣爱好，所学专业，明确未来的发展方向。并辅以《职业全能培训库》里大学生职业生涯规划课程和大量案例课程，使大学生尽早建立职业规划，不再盲目学习。</w:t>
      </w:r>
    </w:p>
    <w:p>
      <w:pPr>
        <w:spacing w:line="360" w:lineRule="auto"/>
        <w:ind w:firstLine="480" w:firstLineChars="200"/>
        <w:rPr>
          <w:rFonts w:hint="eastAsia" w:ascii="微软雅黑" w:hAnsi="微软雅黑" w:eastAsia="微软雅黑" w:cs="微软雅黑"/>
          <w:sz w:val="24"/>
          <w:lang w:val="zh-CN"/>
        </w:rPr>
      </w:pPr>
      <w:r>
        <w:rPr>
          <w:rFonts w:hint="eastAsia" w:ascii="微软雅黑" w:hAnsi="微软雅黑" w:eastAsia="微软雅黑" w:cs="微软雅黑"/>
          <w:sz w:val="24"/>
          <w:lang w:val="zh-CN"/>
        </w:rPr>
        <w:t>针对性学习：学生有了明确的方向后，可在平台中选择对应课程学习提高。课程内容是《职业全能培训库》的核心，目前收录各类课程21000余集，全面涵盖大学生毕业四大方向，课程内容每年更新迭代，权威性、时效性强。为大学生的职业技能、职业规划和职业发展提供导向性参考指导，对广大学生群体自身技能、就业能力和创业能力的综合提高提供正能量。</w:t>
      </w:r>
    </w:p>
    <w:p>
      <w:pPr>
        <w:spacing w:line="360" w:lineRule="auto"/>
        <w:ind w:firstLine="480" w:firstLineChars="200"/>
        <w:rPr>
          <w:rFonts w:ascii="微软雅黑" w:hAnsi="微软雅黑" w:eastAsia="微软雅黑" w:cs="微软雅黑"/>
        </w:rPr>
      </w:pPr>
      <w:r>
        <w:rPr>
          <w:rFonts w:hint="eastAsia" w:ascii="微软雅黑" w:hAnsi="微软雅黑" w:eastAsia="微软雅黑" w:cs="微软雅黑"/>
          <w:sz w:val="24"/>
          <w:lang w:val="en-US" w:eastAsia="zh-CN"/>
        </w:rPr>
        <w:t>整套</w:t>
      </w:r>
      <w:r>
        <w:rPr>
          <w:rFonts w:hint="eastAsia" w:ascii="微软雅黑" w:hAnsi="微软雅黑" w:eastAsia="微软雅黑" w:cs="微软雅黑"/>
          <w:sz w:val="24"/>
          <w:lang w:val="zh-CN"/>
        </w:rPr>
        <w:t>集课程学习、职业资讯、职业测评、学习评估、职场解读、系统管理等先进、全面的学习与管理功能为一体的在线学习平台，并与全面的通用职业资格考试和技能培训课程相结合，适合当前大学生的就业培训需求，充分满足各个行业的岗位需要，是大学生提升行业竞争力的强力助推剂，是提高高校毕业生顺利就业、创业的质量保障。</w:t>
      </w:r>
      <w:bookmarkStart w:id="6" w:name="_Toc487201949"/>
      <w:bookmarkStart w:id="7" w:name="_Toc510878271"/>
      <w:bookmarkStart w:id="8" w:name="_Toc487201799"/>
      <w:r>
        <w:rPr>
          <w:rFonts w:hint="eastAsia" w:ascii="微软雅黑" w:hAnsi="微软雅黑" w:eastAsia="微软雅黑" w:cs="微软雅黑"/>
          <w:sz w:val="24"/>
          <w:lang w:val="zh-CN"/>
        </w:rPr>
        <w:t>另外，我公司应国家职业技能提升需求搭建了企业学习平台，架通与国内700余家企业单位的数据桥梁，由企业组织岗位培训课程，让在校学生能掌握企业岗位所需要的任职技能，为在校学生提供合适的实习和就业岗位，为企业单位提供优质人才选择。</w:t>
      </w:r>
    </w:p>
    <w:bookmarkEnd w:id="6"/>
    <w:bookmarkEnd w:id="7"/>
    <w:bookmarkEnd w:id="8"/>
    <w:p>
      <w:pPr>
        <w:pStyle w:val="3"/>
        <w:numPr>
          <w:ilvl w:val="0"/>
          <w:numId w:val="2"/>
        </w:numPr>
        <w:spacing w:line="360" w:lineRule="auto"/>
        <w:rPr>
          <w:rFonts w:ascii="微软雅黑" w:hAnsi="微软雅黑" w:eastAsia="微软雅黑" w:cs="微软雅黑"/>
          <w:b w:val="0"/>
          <w:bCs w:val="0"/>
          <w:lang w:val="zh-CN"/>
        </w:rPr>
      </w:pPr>
      <w:bookmarkStart w:id="9" w:name="_Toc510878274"/>
      <w:bookmarkStart w:id="10" w:name="_Toc24230"/>
      <w:bookmarkStart w:id="11" w:name="_Toc31895"/>
      <w:bookmarkStart w:id="12" w:name="_Toc487201802"/>
      <w:bookmarkStart w:id="13" w:name="_Toc28349"/>
      <w:bookmarkStart w:id="14" w:name="_Toc487201952"/>
      <w:r>
        <w:rPr>
          <w:rFonts w:hint="eastAsia" w:ascii="微软雅黑" w:hAnsi="微软雅黑" w:eastAsia="微软雅黑" w:cs="微软雅黑"/>
          <w:b w:val="0"/>
          <w:bCs w:val="0"/>
          <w:lang w:val="zh-CN"/>
        </w:rPr>
        <w:t>内容体系</w:t>
      </w:r>
      <w:bookmarkEnd w:id="9"/>
      <w:bookmarkEnd w:id="10"/>
      <w:bookmarkEnd w:id="11"/>
      <w:bookmarkEnd w:id="12"/>
      <w:bookmarkEnd w:id="13"/>
      <w:bookmarkEnd w:id="14"/>
    </w:p>
    <w:p>
      <w:pPr>
        <w:spacing w:line="360" w:lineRule="auto"/>
        <w:ind w:firstLine="480" w:firstLineChars="200"/>
        <w:rPr>
          <w:rFonts w:ascii="微软雅黑" w:hAnsi="微软雅黑" w:eastAsia="微软雅黑" w:cs="微软雅黑"/>
          <w:sz w:val="24"/>
          <w:lang w:val="zh-CN"/>
        </w:rPr>
      </w:pPr>
      <w:r>
        <w:rPr>
          <w:rFonts w:hint="eastAsia" w:ascii="微软雅黑" w:hAnsi="微软雅黑" w:eastAsia="微软雅黑" w:cs="微软雅黑"/>
          <w:sz w:val="24"/>
          <w:lang w:val="zh-CN"/>
        </w:rPr>
        <w:t>《职业全能培训库-创业就业技能提升平台》（简称：职业全能培训库）以大学生</w:t>
      </w:r>
      <w:r>
        <w:rPr>
          <w:rFonts w:hint="eastAsia" w:ascii="微软雅黑" w:hAnsi="微软雅黑" w:eastAsia="微软雅黑" w:cs="微软雅黑"/>
          <w:sz w:val="24"/>
          <w:lang w:val="en-US" w:eastAsia="zh-CN"/>
        </w:rPr>
        <w:t>学成就业</w:t>
      </w:r>
      <w:r>
        <w:rPr>
          <w:rFonts w:hint="eastAsia" w:ascii="微软雅黑" w:hAnsi="微软雅黑" w:eastAsia="微软雅黑" w:cs="微软雅黑"/>
          <w:sz w:val="24"/>
          <w:lang w:val="zh-CN"/>
        </w:rPr>
        <w:t>的全过程做为关注点，将求职就业与个人职业发展相结合，突出“个性化”、“自我化”、“专属化”特点。</w:t>
      </w:r>
    </w:p>
    <w:p>
      <w:pPr>
        <w:spacing w:line="360" w:lineRule="auto"/>
        <w:ind w:firstLine="480" w:firstLineChars="200"/>
        <w:rPr>
          <w:rFonts w:ascii="微软雅黑" w:hAnsi="微软雅黑" w:eastAsia="微软雅黑" w:cs="微软雅黑"/>
          <w:sz w:val="24"/>
          <w:lang w:val="zh-CN"/>
        </w:rPr>
      </w:pPr>
      <w:r>
        <w:rPr>
          <w:rFonts w:hint="eastAsia" w:ascii="微软雅黑" w:hAnsi="微软雅黑" w:eastAsia="微软雅黑" w:cs="微软雅黑"/>
          <w:sz w:val="24"/>
          <w:lang w:val="zh-CN"/>
        </w:rPr>
        <w:t>整个平台结合大学生求职习惯和个人职业发展规律，围绕大学生全生涯，多维度的帮助大学生实现自我认知，充分了解社会，明确</w:t>
      </w:r>
      <w:r>
        <w:rPr>
          <w:rFonts w:hint="eastAsia" w:ascii="微软雅黑" w:hAnsi="微软雅黑" w:eastAsia="微软雅黑" w:cs="微软雅黑"/>
          <w:sz w:val="24"/>
          <w:lang w:val="en-US" w:eastAsia="zh-CN"/>
        </w:rPr>
        <w:t>自身发展</w:t>
      </w:r>
      <w:r>
        <w:rPr>
          <w:rFonts w:hint="eastAsia" w:ascii="微软雅黑" w:hAnsi="微软雅黑" w:eastAsia="微软雅黑" w:cs="微软雅黑"/>
          <w:sz w:val="24"/>
          <w:lang w:val="zh-CN"/>
        </w:rPr>
        <w:t>方向，促进个人全方位发展。用户可以从“职业测评”、“职场解读”、“求职技能”、“名师课堂”、“模拟考试”、“岗位解读”六大内容版块实现个人职业发展。同时可以了解相关热门活动，多终端同步学习。</w:t>
      </w:r>
    </w:p>
    <w:p>
      <w:pPr>
        <w:pStyle w:val="3"/>
        <w:numPr>
          <w:ilvl w:val="0"/>
          <w:numId w:val="2"/>
        </w:numPr>
        <w:spacing w:line="360" w:lineRule="auto"/>
        <w:rPr>
          <w:rFonts w:ascii="微软雅黑" w:hAnsi="微软雅黑" w:eastAsia="微软雅黑" w:cs="微软雅黑"/>
          <w:b w:val="0"/>
          <w:bCs w:val="0"/>
        </w:rPr>
      </w:pPr>
      <w:bookmarkStart w:id="15" w:name="_Toc21020"/>
      <w:bookmarkStart w:id="16" w:name="_Toc32377"/>
      <w:bookmarkStart w:id="17" w:name="_Toc32013"/>
      <w:r>
        <w:rPr>
          <w:rFonts w:hint="eastAsia" w:ascii="微软雅黑" w:hAnsi="微软雅黑" w:eastAsia="微软雅黑" w:cs="微软雅黑"/>
          <w:b w:val="0"/>
          <w:bCs w:val="0"/>
        </w:rPr>
        <w:t>课程体系</w:t>
      </w:r>
      <w:bookmarkEnd w:id="15"/>
      <w:bookmarkEnd w:id="16"/>
      <w:bookmarkEnd w:id="17"/>
    </w:p>
    <w:p>
      <w:pPr>
        <w:rPr>
          <w:rFonts w:hint="default" w:eastAsia="微软雅黑"/>
          <w:sz w:val="24"/>
          <w:szCs w:val="24"/>
          <w:lang w:val="en-US" w:eastAsia="zh-CN"/>
        </w:rPr>
      </w:pPr>
      <w:r>
        <w:rPr>
          <w:rFonts w:hint="eastAsia" w:ascii="微软雅黑" w:hAnsi="微软雅黑" w:eastAsia="微软雅黑" w:cs="微软雅黑"/>
          <w:b w:val="0"/>
          <w:bCs w:val="0"/>
          <w:sz w:val="24"/>
          <w:szCs w:val="24"/>
          <w:lang w:val="en-US" w:eastAsia="zh-CN"/>
        </w:rPr>
        <w:t>课程体系围绕继续深造（考研、出国留学）、公职考试、就业（职业技能提升）、创业课程、图书馆员的学习6大模块的课程进行细分。</w:t>
      </w:r>
    </w:p>
    <w:tbl>
      <w:tblPr>
        <w:tblStyle w:val="6"/>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321"/>
        <w:gridCol w:w="1321"/>
        <w:gridCol w:w="565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8" w:hRule="atLeast"/>
        </w:trPr>
        <w:tc>
          <w:tcPr>
            <w:tcW w:w="8296" w:type="dxa"/>
            <w:gridSpan w:val="3"/>
            <w:tcBorders>
              <w:top w:val="nil"/>
              <w:left w:val="nil"/>
              <w:right w:val="nil"/>
            </w:tcBorders>
            <w:shd w:val="clear" w:color="auto" w:fill="D8D8D8"/>
            <w:noWrap/>
            <w:vAlign w:val="center"/>
          </w:tcPr>
          <w:p>
            <w:pPr>
              <w:spacing w:line="360" w:lineRule="auto"/>
              <w:ind w:firstLine="560" w:firstLineChars="200"/>
              <w:jc w:val="center"/>
              <w:rPr>
                <w:rFonts w:ascii="微软雅黑" w:hAnsi="微软雅黑" w:eastAsia="微软雅黑" w:cs="微软雅黑"/>
                <w:b/>
                <w:bCs/>
                <w:sz w:val="24"/>
              </w:rPr>
            </w:pPr>
            <w:r>
              <w:rPr>
                <w:rFonts w:hint="eastAsia" w:ascii="微软雅黑" w:hAnsi="微软雅黑" w:eastAsia="微软雅黑" w:cs="微软雅黑"/>
                <w:b/>
                <w:bCs/>
                <w:sz w:val="28"/>
              </w:rPr>
              <w:t>课程体系分类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4" w:hRule="exact"/>
        </w:trPr>
        <w:tc>
          <w:tcPr>
            <w:tcW w:w="1321" w:type="dxa"/>
            <w:vMerge w:val="restart"/>
            <w:tcBorders>
              <w:left w:val="nil"/>
            </w:tcBorders>
            <w:shd w:val="clear" w:color="auto" w:fill="F1F1F1"/>
            <w:noWrap/>
            <w:vAlign w:val="center"/>
          </w:tcPr>
          <w:p>
            <w:pPr>
              <w:spacing w:line="360" w:lineRule="auto"/>
              <w:jc w:val="center"/>
              <w:rPr>
                <w:rFonts w:ascii="微软雅黑" w:hAnsi="微软雅黑" w:eastAsia="微软雅黑" w:cs="微软雅黑"/>
                <w:b/>
                <w:bCs/>
                <w:sz w:val="22"/>
              </w:rPr>
            </w:pPr>
            <w:r>
              <w:rPr>
                <w:rFonts w:hint="eastAsia" w:ascii="微软雅黑" w:hAnsi="微软雅黑" w:eastAsia="微软雅黑" w:cs="微软雅黑"/>
                <w:b/>
                <w:bCs/>
                <w:sz w:val="22"/>
              </w:rPr>
              <w:t>一级分类</w:t>
            </w:r>
          </w:p>
        </w:tc>
        <w:tc>
          <w:tcPr>
            <w:tcW w:w="1321" w:type="dxa"/>
            <w:vMerge w:val="restart"/>
            <w:shd w:val="clear" w:color="auto" w:fill="F1F1F1"/>
            <w:noWrap/>
            <w:vAlign w:val="center"/>
          </w:tcPr>
          <w:p>
            <w:pPr>
              <w:spacing w:line="360" w:lineRule="auto"/>
              <w:jc w:val="center"/>
              <w:rPr>
                <w:rFonts w:ascii="微软雅黑" w:hAnsi="微软雅黑" w:eastAsia="微软雅黑" w:cs="微软雅黑"/>
                <w:b/>
                <w:bCs/>
                <w:sz w:val="22"/>
              </w:rPr>
            </w:pPr>
            <w:r>
              <w:rPr>
                <w:rFonts w:hint="eastAsia" w:ascii="微软雅黑" w:hAnsi="微软雅黑" w:eastAsia="微软雅黑" w:cs="微软雅黑"/>
                <w:b/>
                <w:bCs/>
                <w:sz w:val="22"/>
              </w:rPr>
              <w:t>二级分类</w:t>
            </w:r>
          </w:p>
        </w:tc>
        <w:tc>
          <w:tcPr>
            <w:tcW w:w="5654" w:type="dxa"/>
            <w:vMerge w:val="restart"/>
            <w:tcBorders>
              <w:right w:val="nil"/>
            </w:tcBorders>
            <w:shd w:val="clear" w:color="auto" w:fill="F1F1F1"/>
            <w:noWrap/>
            <w:vAlign w:val="center"/>
          </w:tcPr>
          <w:p>
            <w:pPr>
              <w:spacing w:line="360" w:lineRule="auto"/>
              <w:jc w:val="center"/>
              <w:rPr>
                <w:rFonts w:ascii="微软雅黑" w:hAnsi="微软雅黑" w:eastAsia="微软雅黑" w:cs="微软雅黑"/>
                <w:b/>
                <w:bCs/>
                <w:sz w:val="22"/>
              </w:rPr>
            </w:pPr>
            <w:r>
              <w:rPr>
                <w:rFonts w:hint="eastAsia" w:ascii="微软雅黑" w:hAnsi="微软雅黑" w:eastAsia="微软雅黑" w:cs="微软雅黑"/>
                <w:b/>
                <w:bCs/>
                <w:sz w:val="22"/>
              </w:rPr>
              <w:t>三级分类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4" w:hRule="atLeast"/>
        </w:trPr>
        <w:tc>
          <w:tcPr>
            <w:tcW w:w="1321" w:type="dxa"/>
            <w:vMerge w:val="continue"/>
            <w:tcBorders>
              <w:left w:val="nil"/>
            </w:tcBorders>
            <w:shd w:val="clear" w:color="auto" w:fill="F1F1F1"/>
          </w:tcPr>
          <w:p>
            <w:pPr>
              <w:spacing w:line="360" w:lineRule="auto"/>
              <w:ind w:firstLine="440" w:firstLineChars="200"/>
              <w:rPr>
                <w:rFonts w:ascii="微软雅黑" w:hAnsi="微软雅黑" w:eastAsia="微软雅黑" w:cs="微软雅黑"/>
                <w:b/>
                <w:bCs/>
                <w:sz w:val="22"/>
              </w:rPr>
            </w:pPr>
          </w:p>
        </w:tc>
        <w:tc>
          <w:tcPr>
            <w:tcW w:w="1321" w:type="dxa"/>
            <w:vMerge w:val="continue"/>
            <w:shd w:val="clear" w:color="auto" w:fill="F1F1F1"/>
          </w:tcPr>
          <w:p>
            <w:pPr>
              <w:spacing w:line="360" w:lineRule="auto"/>
              <w:ind w:firstLine="440" w:firstLineChars="200"/>
              <w:rPr>
                <w:rFonts w:ascii="微软雅黑" w:hAnsi="微软雅黑" w:eastAsia="微软雅黑" w:cs="微软雅黑"/>
                <w:b/>
                <w:bCs/>
                <w:sz w:val="22"/>
              </w:rPr>
            </w:pPr>
          </w:p>
        </w:tc>
        <w:tc>
          <w:tcPr>
            <w:tcW w:w="5654" w:type="dxa"/>
            <w:vMerge w:val="continue"/>
            <w:tcBorders>
              <w:right w:val="nil"/>
            </w:tcBorders>
            <w:shd w:val="clear" w:color="auto" w:fill="F1F1F1"/>
          </w:tcPr>
          <w:p>
            <w:pPr>
              <w:spacing w:line="360" w:lineRule="auto"/>
              <w:ind w:firstLine="440" w:firstLineChars="200"/>
              <w:rPr>
                <w:rFonts w:ascii="微软雅黑" w:hAnsi="微软雅黑" w:eastAsia="微软雅黑" w:cs="微软雅黑"/>
                <w:b/>
                <w:bCs/>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1321" w:type="dxa"/>
            <w:vMerge w:val="restart"/>
            <w:tcBorders>
              <w:left w:val="nil"/>
            </w:tcBorders>
            <w:shd w:val="clear" w:color="auto" w:fill="F1F1F1"/>
            <w:noWrap/>
            <w:vAlign w:val="center"/>
          </w:tcPr>
          <w:p>
            <w:pPr>
              <w:spacing w:line="360" w:lineRule="auto"/>
              <w:jc w:val="center"/>
              <w:rPr>
                <w:rFonts w:ascii="微软雅黑" w:hAnsi="微软雅黑" w:eastAsia="微软雅黑" w:cs="微软雅黑"/>
                <w:b/>
                <w:bCs/>
                <w:sz w:val="22"/>
              </w:rPr>
            </w:pPr>
            <w:r>
              <w:rPr>
                <w:rFonts w:hint="eastAsia" w:ascii="微软雅黑" w:hAnsi="微软雅黑" w:eastAsia="微软雅黑" w:cs="微软雅黑"/>
                <w:b/>
                <w:bCs/>
                <w:sz w:val="22"/>
              </w:rPr>
              <w:t>IT/互联网</w:t>
            </w:r>
          </w:p>
        </w:tc>
        <w:tc>
          <w:tcPr>
            <w:tcW w:w="1321" w:type="dxa"/>
            <w:shd w:val="clear" w:color="auto" w:fill="F1F1F1"/>
            <w:noWrap/>
            <w:vAlign w:val="center"/>
          </w:tcPr>
          <w:p>
            <w:pPr>
              <w:spacing w:line="360" w:lineRule="auto"/>
              <w:jc w:val="center"/>
              <w:rPr>
                <w:rFonts w:ascii="微软雅黑" w:hAnsi="微软雅黑" w:eastAsia="微软雅黑" w:cs="微软雅黑"/>
                <w:b/>
                <w:bCs/>
                <w:sz w:val="22"/>
              </w:rPr>
            </w:pPr>
            <w:r>
              <w:rPr>
                <w:rFonts w:hint="eastAsia" w:ascii="微软雅黑" w:hAnsi="微软雅黑" w:eastAsia="微软雅黑" w:cs="微软雅黑"/>
                <w:b/>
                <w:bCs/>
                <w:sz w:val="22"/>
              </w:rPr>
              <w:t>产品</w:t>
            </w:r>
          </w:p>
        </w:tc>
        <w:tc>
          <w:tcPr>
            <w:tcW w:w="5654" w:type="dxa"/>
            <w:tcBorders>
              <w:right w:val="nil"/>
            </w:tcBorders>
          </w:tcPr>
          <w:p>
            <w:pPr>
              <w:spacing w:line="360" w:lineRule="auto"/>
              <w:rPr>
                <w:rFonts w:ascii="微软雅黑" w:hAnsi="微软雅黑" w:eastAsia="微软雅黑" w:cs="微软雅黑"/>
                <w:sz w:val="22"/>
              </w:rPr>
            </w:pPr>
            <w:r>
              <w:rPr>
                <w:rFonts w:hint="eastAsia" w:ascii="微软雅黑" w:hAnsi="微软雅黑" w:eastAsia="微软雅黑" w:cs="微软雅黑"/>
                <w:sz w:val="22"/>
              </w:rPr>
              <w:t>产品经理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1321" w:type="dxa"/>
            <w:vMerge w:val="continue"/>
            <w:tcBorders>
              <w:left w:val="nil"/>
            </w:tcBorders>
            <w:shd w:val="clear" w:color="auto" w:fill="F1F1F1"/>
            <w:vAlign w:val="center"/>
          </w:tcPr>
          <w:p>
            <w:pPr>
              <w:spacing w:line="360" w:lineRule="auto"/>
              <w:ind w:firstLine="440" w:firstLineChars="200"/>
              <w:jc w:val="center"/>
              <w:rPr>
                <w:rFonts w:ascii="微软雅黑" w:hAnsi="微软雅黑" w:eastAsia="微软雅黑" w:cs="微软雅黑"/>
                <w:b/>
                <w:bCs/>
                <w:sz w:val="22"/>
              </w:rPr>
            </w:pPr>
          </w:p>
        </w:tc>
        <w:tc>
          <w:tcPr>
            <w:tcW w:w="1321" w:type="dxa"/>
            <w:shd w:val="clear" w:color="auto" w:fill="F1F1F1"/>
            <w:noWrap/>
            <w:vAlign w:val="center"/>
          </w:tcPr>
          <w:p>
            <w:pPr>
              <w:spacing w:line="360" w:lineRule="auto"/>
              <w:jc w:val="center"/>
              <w:rPr>
                <w:rFonts w:ascii="微软雅黑" w:hAnsi="微软雅黑" w:eastAsia="微软雅黑" w:cs="微软雅黑"/>
                <w:b/>
                <w:bCs/>
                <w:sz w:val="22"/>
              </w:rPr>
            </w:pPr>
            <w:r>
              <w:rPr>
                <w:rFonts w:hint="eastAsia" w:ascii="微软雅黑" w:hAnsi="微软雅黑" w:eastAsia="微软雅黑" w:cs="微软雅黑"/>
                <w:b/>
                <w:bCs/>
                <w:sz w:val="22"/>
              </w:rPr>
              <w:t>编程开发</w:t>
            </w:r>
          </w:p>
        </w:tc>
        <w:tc>
          <w:tcPr>
            <w:tcW w:w="5654" w:type="dxa"/>
            <w:tcBorders>
              <w:right w:val="nil"/>
            </w:tcBorders>
          </w:tcPr>
          <w:p>
            <w:pPr>
              <w:spacing w:line="360" w:lineRule="auto"/>
              <w:rPr>
                <w:rFonts w:ascii="微软雅黑" w:hAnsi="微软雅黑" w:eastAsia="微软雅黑" w:cs="微软雅黑"/>
                <w:sz w:val="22"/>
              </w:rPr>
            </w:pPr>
            <w:r>
              <w:rPr>
                <w:rFonts w:hint="eastAsia" w:ascii="微软雅黑" w:hAnsi="微软雅黑" w:eastAsia="微软雅黑" w:cs="微软雅黑"/>
                <w:sz w:val="22"/>
              </w:rPr>
              <w:t>C、C++、JAVA、.net、php、Android、IOS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1321" w:type="dxa"/>
            <w:vMerge w:val="continue"/>
            <w:tcBorders>
              <w:left w:val="nil"/>
            </w:tcBorders>
            <w:shd w:val="clear" w:color="auto" w:fill="F1F1F1"/>
            <w:vAlign w:val="center"/>
          </w:tcPr>
          <w:p>
            <w:pPr>
              <w:spacing w:line="360" w:lineRule="auto"/>
              <w:ind w:firstLine="440" w:firstLineChars="200"/>
              <w:jc w:val="center"/>
              <w:rPr>
                <w:rFonts w:ascii="微软雅黑" w:hAnsi="微软雅黑" w:eastAsia="微软雅黑" w:cs="微软雅黑"/>
                <w:b/>
                <w:bCs/>
                <w:sz w:val="22"/>
              </w:rPr>
            </w:pPr>
          </w:p>
        </w:tc>
        <w:tc>
          <w:tcPr>
            <w:tcW w:w="1321" w:type="dxa"/>
            <w:shd w:val="clear" w:color="auto" w:fill="F1F1F1"/>
            <w:noWrap/>
            <w:vAlign w:val="center"/>
          </w:tcPr>
          <w:p>
            <w:pPr>
              <w:spacing w:line="360" w:lineRule="auto"/>
              <w:jc w:val="center"/>
              <w:rPr>
                <w:rFonts w:ascii="微软雅黑" w:hAnsi="微软雅黑" w:eastAsia="微软雅黑" w:cs="微软雅黑"/>
                <w:b/>
                <w:bCs/>
                <w:sz w:val="22"/>
              </w:rPr>
            </w:pPr>
            <w:r>
              <w:rPr>
                <w:rFonts w:hint="eastAsia" w:ascii="微软雅黑" w:hAnsi="微软雅黑" w:eastAsia="微软雅黑" w:cs="微软雅黑"/>
                <w:b/>
                <w:bCs/>
                <w:sz w:val="22"/>
              </w:rPr>
              <w:t>前端开发</w:t>
            </w:r>
          </w:p>
        </w:tc>
        <w:tc>
          <w:tcPr>
            <w:tcW w:w="5654" w:type="dxa"/>
            <w:tcBorders>
              <w:right w:val="nil"/>
            </w:tcBorders>
          </w:tcPr>
          <w:p>
            <w:pPr>
              <w:spacing w:line="360" w:lineRule="auto"/>
              <w:rPr>
                <w:rFonts w:ascii="微软雅黑" w:hAnsi="微软雅黑" w:eastAsia="微软雅黑" w:cs="微软雅黑"/>
                <w:sz w:val="22"/>
              </w:rPr>
            </w:pPr>
            <w:r>
              <w:rPr>
                <w:rFonts w:hint="eastAsia" w:ascii="微软雅黑" w:hAnsi="微软雅黑" w:eastAsia="微软雅黑" w:cs="微软雅黑"/>
                <w:sz w:val="22"/>
              </w:rPr>
              <w:t>HTML5、CSS3、javascript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8" w:hRule="atLeast"/>
        </w:trPr>
        <w:tc>
          <w:tcPr>
            <w:tcW w:w="1321" w:type="dxa"/>
            <w:vMerge w:val="continue"/>
            <w:tcBorders>
              <w:left w:val="nil"/>
            </w:tcBorders>
            <w:shd w:val="clear" w:color="auto" w:fill="F1F1F1"/>
            <w:vAlign w:val="center"/>
          </w:tcPr>
          <w:p>
            <w:pPr>
              <w:spacing w:line="360" w:lineRule="auto"/>
              <w:ind w:firstLine="440" w:firstLineChars="200"/>
              <w:jc w:val="center"/>
              <w:rPr>
                <w:rFonts w:ascii="微软雅黑" w:hAnsi="微软雅黑" w:eastAsia="微软雅黑" w:cs="微软雅黑"/>
                <w:b/>
                <w:bCs/>
                <w:sz w:val="22"/>
              </w:rPr>
            </w:pPr>
          </w:p>
        </w:tc>
        <w:tc>
          <w:tcPr>
            <w:tcW w:w="1321" w:type="dxa"/>
            <w:shd w:val="clear" w:color="auto" w:fill="F1F1F1"/>
            <w:noWrap/>
            <w:vAlign w:val="center"/>
          </w:tcPr>
          <w:p>
            <w:pPr>
              <w:spacing w:line="360" w:lineRule="auto"/>
              <w:jc w:val="center"/>
              <w:rPr>
                <w:rFonts w:ascii="微软雅黑" w:hAnsi="微软雅黑" w:eastAsia="微软雅黑" w:cs="微软雅黑"/>
                <w:b/>
                <w:bCs/>
                <w:sz w:val="22"/>
              </w:rPr>
            </w:pPr>
            <w:r>
              <w:rPr>
                <w:rFonts w:hint="eastAsia" w:ascii="微软雅黑" w:hAnsi="微软雅黑" w:eastAsia="微软雅黑" w:cs="微软雅黑"/>
                <w:b/>
                <w:bCs/>
                <w:sz w:val="22"/>
              </w:rPr>
              <w:t>设计</w:t>
            </w:r>
          </w:p>
        </w:tc>
        <w:tc>
          <w:tcPr>
            <w:tcW w:w="5654" w:type="dxa"/>
            <w:tcBorders>
              <w:right w:val="nil"/>
            </w:tcBorders>
          </w:tcPr>
          <w:p>
            <w:pPr>
              <w:spacing w:line="360" w:lineRule="auto"/>
              <w:rPr>
                <w:rFonts w:ascii="微软雅黑" w:hAnsi="微软雅黑" w:eastAsia="微软雅黑" w:cs="微软雅黑"/>
                <w:sz w:val="22"/>
              </w:rPr>
            </w:pPr>
            <w:r>
              <w:rPr>
                <w:rFonts w:hint="eastAsia" w:ascii="微软雅黑" w:hAnsi="微软雅黑" w:eastAsia="微软雅黑" w:cs="微软雅黑"/>
                <w:sz w:val="22"/>
              </w:rPr>
              <w:t>UI设计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8" w:hRule="atLeast"/>
        </w:trPr>
        <w:tc>
          <w:tcPr>
            <w:tcW w:w="1321" w:type="dxa"/>
            <w:vMerge w:val="continue"/>
            <w:tcBorders>
              <w:left w:val="nil"/>
            </w:tcBorders>
            <w:shd w:val="clear" w:color="auto" w:fill="F1F1F1"/>
            <w:vAlign w:val="center"/>
          </w:tcPr>
          <w:p>
            <w:pPr>
              <w:spacing w:line="360" w:lineRule="auto"/>
              <w:ind w:firstLine="440" w:firstLineChars="200"/>
              <w:jc w:val="center"/>
              <w:rPr>
                <w:rFonts w:ascii="微软雅黑" w:hAnsi="微软雅黑" w:eastAsia="微软雅黑" w:cs="微软雅黑"/>
                <w:b/>
                <w:bCs/>
                <w:sz w:val="22"/>
              </w:rPr>
            </w:pPr>
          </w:p>
        </w:tc>
        <w:tc>
          <w:tcPr>
            <w:tcW w:w="1321" w:type="dxa"/>
            <w:shd w:val="clear" w:color="auto" w:fill="F1F1F1"/>
            <w:noWrap/>
            <w:vAlign w:val="center"/>
          </w:tcPr>
          <w:p>
            <w:pPr>
              <w:spacing w:line="360" w:lineRule="auto"/>
              <w:jc w:val="center"/>
              <w:rPr>
                <w:rFonts w:ascii="微软雅黑" w:hAnsi="微软雅黑" w:eastAsia="微软雅黑" w:cs="微软雅黑"/>
                <w:b/>
                <w:bCs/>
                <w:sz w:val="22"/>
              </w:rPr>
            </w:pPr>
            <w:r>
              <w:rPr>
                <w:rFonts w:hint="eastAsia" w:ascii="微软雅黑" w:hAnsi="微软雅黑" w:eastAsia="微软雅黑" w:cs="微软雅黑"/>
                <w:b/>
                <w:bCs/>
                <w:sz w:val="22"/>
              </w:rPr>
              <w:t>营销</w:t>
            </w:r>
          </w:p>
        </w:tc>
        <w:tc>
          <w:tcPr>
            <w:tcW w:w="5654" w:type="dxa"/>
            <w:tcBorders>
              <w:right w:val="nil"/>
            </w:tcBorders>
          </w:tcPr>
          <w:p>
            <w:pPr>
              <w:spacing w:line="360" w:lineRule="auto"/>
              <w:rPr>
                <w:rFonts w:ascii="微软雅黑" w:hAnsi="微软雅黑" w:eastAsia="微软雅黑" w:cs="微软雅黑"/>
                <w:sz w:val="22"/>
              </w:rPr>
            </w:pPr>
            <w:r>
              <w:rPr>
                <w:rFonts w:hint="eastAsia" w:ascii="微软雅黑" w:hAnsi="微软雅黑" w:eastAsia="微软雅黑" w:cs="微软雅黑"/>
                <w:sz w:val="22"/>
              </w:rPr>
              <w:t>SEO、SEM、营销策划</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76" w:hRule="atLeast"/>
        </w:trPr>
        <w:tc>
          <w:tcPr>
            <w:tcW w:w="1321" w:type="dxa"/>
            <w:vMerge w:val="continue"/>
            <w:tcBorders>
              <w:left w:val="nil"/>
            </w:tcBorders>
            <w:shd w:val="clear" w:color="auto" w:fill="F1F1F1"/>
            <w:vAlign w:val="center"/>
          </w:tcPr>
          <w:p>
            <w:pPr>
              <w:spacing w:line="360" w:lineRule="auto"/>
              <w:ind w:firstLine="440" w:firstLineChars="200"/>
              <w:jc w:val="center"/>
              <w:rPr>
                <w:rFonts w:ascii="微软雅黑" w:hAnsi="微软雅黑" w:eastAsia="微软雅黑" w:cs="微软雅黑"/>
                <w:b/>
                <w:bCs/>
                <w:sz w:val="22"/>
              </w:rPr>
            </w:pPr>
          </w:p>
        </w:tc>
        <w:tc>
          <w:tcPr>
            <w:tcW w:w="1321" w:type="dxa"/>
            <w:shd w:val="clear" w:color="auto" w:fill="F1F1F1"/>
            <w:noWrap/>
            <w:vAlign w:val="center"/>
          </w:tcPr>
          <w:p>
            <w:pPr>
              <w:spacing w:line="360" w:lineRule="auto"/>
              <w:jc w:val="center"/>
              <w:rPr>
                <w:rFonts w:ascii="微软雅黑" w:hAnsi="微软雅黑" w:eastAsia="微软雅黑" w:cs="微软雅黑"/>
                <w:b/>
                <w:bCs/>
                <w:sz w:val="22"/>
              </w:rPr>
            </w:pPr>
            <w:r>
              <w:rPr>
                <w:rFonts w:hint="eastAsia" w:ascii="微软雅黑" w:hAnsi="微软雅黑" w:eastAsia="微软雅黑" w:cs="微软雅黑"/>
                <w:b/>
                <w:bCs/>
                <w:sz w:val="22"/>
              </w:rPr>
              <w:t>设计软件</w:t>
            </w:r>
          </w:p>
        </w:tc>
        <w:tc>
          <w:tcPr>
            <w:tcW w:w="5654" w:type="dxa"/>
            <w:tcBorders>
              <w:right w:val="nil"/>
            </w:tcBorders>
          </w:tcPr>
          <w:p>
            <w:pPr>
              <w:spacing w:line="360" w:lineRule="auto"/>
              <w:rPr>
                <w:rFonts w:ascii="微软雅黑" w:hAnsi="微软雅黑" w:eastAsia="微软雅黑" w:cs="微软雅黑"/>
                <w:sz w:val="22"/>
              </w:rPr>
            </w:pPr>
            <w:r>
              <w:rPr>
                <w:rFonts w:hint="eastAsia" w:ascii="微软雅黑" w:hAnsi="微软雅黑" w:eastAsia="微软雅黑" w:cs="微软雅黑"/>
                <w:sz w:val="22"/>
              </w:rPr>
              <w:t>3DMax、Axure、AE、AutoCAD、CorelDRAW、Dreamweaver、Illustrator、Maya、Photoshop、ProE、Rhino、UGNX、Vray</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8" w:hRule="atLeast"/>
        </w:trPr>
        <w:tc>
          <w:tcPr>
            <w:tcW w:w="1321" w:type="dxa"/>
            <w:vMerge w:val="continue"/>
            <w:tcBorders>
              <w:left w:val="nil"/>
            </w:tcBorders>
            <w:shd w:val="clear" w:color="auto" w:fill="F1F1F1"/>
            <w:vAlign w:val="center"/>
          </w:tcPr>
          <w:p>
            <w:pPr>
              <w:spacing w:line="360" w:lineRule="auto"/>
              <w:ind w:firstLine="440" w:firstLineChars="200"/>
              <w:jc w:val="center"/>
              <w:rPr>
                <w:rFonts w:ascii="微软雅黑" w:hAnsi="微软雅黑" w:eastAsia="微软雅黑" w:cs="微软雅黑"/>
                <w:b/>
                <w:bCs/>
                <w:sz w:val="22"/>
              </w:rPr>
            </w:pPr>
          </w:p>
        </w:tc>
        <w:tc>
          <w:tcPr>
            <w:tcW w:w="1321" w:type="dxa"/>
            <w:shd w:val="clear" w:color="auto" w:fill="F1F1F1"/>
            <w:noWrap/>
            <w:vAlign w:val="center"/>
          </w:tcPr>
          <w:p>
            <w:pPr>
              <w:spacing w:line="360" w:lineRule="auto"/>
              <w:jc w:val="center"/>
              <w:rPr>
                <w:rFonts w:ascii="微软雅黑" w:hAnsi="微软雅黑" w:eastAsia="微软雅黑" w:cs="微软雅黑"/>
                <w:b/>
                <w:bCs/>
                <w:sz w:val="22"/>
              </w:rPr>
            </w:pPr>
            <w:r>
              <w:rPr>
                <w:rFonts w:hint="eastAsia" w:ascii="微软雅黑" w:hAnsi="微软雅黑" w:eastAsia="微软雅黑" w:cs="微软雅黑"/>
                <w:b/>
                <w:bCs/>
                <w:sz w:val="22"/>
              </w:rPr>
              <w:t>大数据</w:t>
            </w:r>
          </w:p>
        </w:tc>
        <w:tc>
          <w:tcPr>
            <w:tcW w:w="5654" w:type="dxa"/>
            <w:tcBorders>
              <w:right w:val="nil"/>
            </w:tcBorders>
          </w:tcPr>
          <w:p>
            <w:pPr>
              <w:spacing w:line="360" w:lineRule="auto"/>
              <w:rPr>
                <w:rFonts w:ascii="微软雅黑" w:hAnsi="微软雅黑" w:eastAsia="微软雅黑" w:cs="微软雅黑"/>
                <w:sz w:val="22"/>
              </w:rPr>
            </w:pPr>
            <w:r>
              <w:rPr>
                <w:rFonts w:hint="eastAsia" w:ascii="微软雅黑" w:hAnsi="微软雅黑" w:eastAsia="微软雅黑" w:cs="微软雅黑"/>
                <w:sz w:val="22"/>
              </w:rPr>
              <w:t>Storm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8" w:hRule="atLeast"/>
        </w:trPr>
        <w:tc>
          <w:tcPr>
            <w:tcW w:w="1321" w:type="dxa"/>
            <w:vMerge w:val="continue"/>
            <w:tcBorders>
              <w:left w:val="nil"/>
            </w:tcBorders>
            <w:shd w:val="clear" w:color="auto" w:fill="F1F1F1"/>
            <w:vAlign w:val="center"/>
          </w:tcPr>
          <w:p>
            <w:pPr>
              <w:spacing w:line="360" w:lineRule="auto"/>
              <w:ind w:firstLine="440" w:firstLineChars="200"/>
              <w:jc w:val="center"/>
              <w:rPr>
                <w:rFonts w:ascii="微软雅黑" w:hAnsi="微软雅黑" w:eastAsia="微软雅黑" w:cs="微软雅黑"/>
                <w:b/>
                <w:bCs/>
                <w:sz w:val="22"/>
              </w:rPr>
            </w:pPr>
          </w:p>
        </w:tc>
        <w:tc>
          <w:tcPr>
            <w:tcW w:w="1321" w:type="dxa"/>
            <w:shd w:val="clear" w:color="auto" w:fill="F1F1F1"/>
            <w:noWrap/>
            <w:vAlign w:val="center"/>
          </w:tcPr>
          <w:p>
            <w:pPr>
              <w:spacing w:line="360" w:lineRule="auto"/>
              <w:jc w:val="center"/>
              <w:rPr>
                <w:rFonts w:ascii="微软雅黑" w:hAnsi="微软雅黑" w:eastAsia="微软雅黑" w:cs="微软雅黑"/>
                <w:b/>
                <w:bCs/>
                <w:sz w:val="22"/>
              </w:rPr>
            </w:pPr>
            <w:r>
              <w:rPr>
                <w:rFonts w:hint="eastAsia" w:ascii="微软雅黑" w:hAnsi="微软雅黑" w:eastAsia="微软雅黑" w:cs="微软雅黑"/>
                <w:b/>
                <w:bCs/>
                <w:sz w:val="22"/>
              </w:rPr>
              <w:t>软件办公</w:t>
            </w:r>
          </w:p>
        </w:tc>
        <w:tc>
          <w:tcPr>
            <w:tcW w:w="5654" w:type="dxa"/>
            <w:tcBorders>
              <w:right w:val="nil"/>
            </w:tcBorders>
          </w:tcPr>
          <w:p>
            <w:pPr>
              <w:spacing w:line="360" w:lineRule="auto"/>
              <w:rPr>
                <w:rFonts w:ascii="微软雅黑" w:hAnsi="微软雅黑" w:eastAsia="微软雅黑" w:cs="微软雅黑"/>
                <w:sz w:val="22"/>
              </w:rPr>
            </w:pPr>
            <w:r>
              <w:rPr>
                <w:rFonts w:hint="eastAsia" w:ascii="微软雅黑" w:hAnsi="微软雅黑" w:eastAsia="微软雅黑" w:cs="微软雅黑"/>
                <w:sz w:val="22"/>
              </w:rPr>
              <w:t>基础应用、WPS、Micosoft Office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8" w:hRule="atLeast"/>
        </w:trPr>
        <w:tc>
          <w:tcPr>
            <w:tcW w:w="1321" w:type="dxa"/>
            <w:tcBorders>
              <w:left w:val="nil"/>
            </w:tcBorders>
            <w:shd w:val="clear" w:color="auto" w:fill="F1F1F1"/>
            <w:noWrap/>
            <w:vAlign w:val="center"/>
          </w:tcPr>
          <w:p>
            <w:pPr>
              <w:spacing w:line="360" w:lineRule="auto"/>
              <w:jc w:val="center"/>
              <w:rPr>
                <w:rFonts w:ascii="微软雅黑" w:hAnsi="微软雅黑" w:eastAsia="微软雅黑" w:cs="微软雅黑"/>
                <w:b/>
                <w:bCs/>
                <w:sz w:val="22"/>
              </w:rPr>
            </w:pPr>
            <w:r>
              <w:rPr>
                <w:rFonts w:hint="eastAsia" w:ascii="微软雅黑" w:hAnsi="微软雅黑" w:eastAsia="微软雅黑" w:cs="微软雅黑"/>
                <w:b/>
                <w:bCs/>
                <w:sz w:val="22"/>
              </w:rPr>
              <w:t>考研升学</w:t>
            </w:r>
          </w:p>
        </w:tc>
        <w:tc>
          <w:tcPr>
            <w:tcW w:w="1321" w:type="dxa"/>
            <w:shd w:val="clear" w:color="auto" w:fill="F1F1F1"/>
            <w:noWrap/>
            <w:vAlign w:val="center"/>
          </w:tcPr>
          <w:p>
            <w:pPr>
              <w:spacing w:line="360" w:lineRule="auto"/>
              <w:jc w:val="center"/>
              <w:rPr>
                <w:rFonts w:ascii="微软雅黑" w:hAnsi="微软雅黑" w:eastAsia="微软雅黑" w:cs="微软雅黑"/>
                <w:b/>
                <w:bCs/>
                <w:sz w:val="22"/>
              </w:rPr>
            </w:pPr>
            <w:r>
              <w:rPr>
                <w:rFonts w:hint="eastAsia" w:ascii="微软雅黑" w:hAnsi="微软雅黑" w:eastAsia="微软雅黑" w:cs="微软雅黑"/>
                <w:b/>
                <w:bCs/>
                <w:sz w:val="22"/>
              </w:rPr>
              <w:t>考研</w:t>
            </w:r>
          </w:p>
        </w:tc>
        <w:tc>
          <w:tcPr>
            <w:tcW w:w="5654" w:type="dxa"/>
            <w:tcBorders>
              <w:right w:val="nil"/>
            </w:tcBorders>
          </w:tcPr>
          <w:p>
            <w:pPr>
              <w:spacing w:line="360" w:lineRule="auto"/>
              <w:rPr>
                <w:rFonts w:ascii="微软雅黑" w:hAnsi="微软雅黑" w:eastAsia="微软雅黑" w:cs="微软雅黑"/>
                <w:sz w:val="22"/>
              </w:rPr>
            </w:pPr>
            <w:r>
              <w:rPr>
                <w:rFonts w:hint="eastAsia" w:ascii="微软雅黑" w:hAnsi="微软雅黑" w:eastAsia="微软雅黑" w:cs="微软雅黑"/>
                <w:sz w:val="22"/>
              </w:rPr>
              <w:t>考研政治、考研数学、考研英语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8" w:hRule="atLeast"/>
        </w:trPr>
        <w:tc>
          <w:tcPr>
            <w:tcW w:w="1321" w:type="dxa"/>
            <w:vMerge w:val="restart"/>
            <w:tcBorders>
              <w:left w:val="nil"/>
            </w:tcBorders>
            <w:shd w:val="clear" w:color="auto" w:fill="F1F1F1"/>
            <w:noWrap/>
            <w:vAlign w:val="center"/>
          </w:tcPr>
          <w:p>
            <w:pPr>
              <w:spacing w:line="360" w:lineRule="auto"/>
              <w:jc w:val="center"/>
              <w:rPr>
                <w:rFonts w:ascii="微软雅黑" w:hAnsi="微软雅黑" w:eastAsia="微软雅黑" w:cs="微软雅黑"/>
                <w:b/>
                <w:bCs/>
                <w:sz w:val="22"/>
              </w:rPr>
            </w:pPr>
            <w:r>
              <w:rPr>
                <w:rFonts w:hint="eastAsia" w:ascii="微软雅黑" w:hAnsi="微软雅黑" w:eastAsia="微软雅黑" w:cs="微软雅黑"/>
                <w:b/>
                <w:bCs/>
                <w:sz w:val="22"/>
              </w:rPr>
              <w:t>语言/学习</w:t>
            </w:r>
          </w:p>
        </w:tc>
        <w:tc>
          <w:tcPr>
            <w:tcW w:w="1321" w:type="dxa"/>
            <w:shd w:val="clear" w:color="auto" w:fill="F1F1F1"/>
            <w:noWrap/>
            <w:vAlign w:val="center"/>
          </w:tcPr>
          <w:p>
            <w:pPr>
              <w:spacing w:line="360" w:lineRule="auto"/>
              <w:jc w:val="center"/>
              <w:rPr>
                <w:rFonts w:ascii="微软雅黑" w:hAnsi="微软雅黑" w:eastAsia="微软雅黑" w:cs="微软雅黑"/>
                <w:b/>
                <w:bCs/>
                <w:sz w:val="22"/>
              </w:rPr>
            </w:pPr>
            <w:r>
              <w:rPr>
                <w:rFonts w:hint="eastAsia" w:ascii="微软雅黑" w:hAnsi="微软雅黑" w:eastAsia="微软雅黑" w:cs="微软雅黑"/>
                <w:b/>
                <w:bCs/>
                <w:sz w:val="22"/>
              </w:rPr>
              <w:t>学历英语</w:t>
            </w:r>
          </w:p>
        </w:tc>
        <w:tc>
          <w:tcPr>
            <w:tcW w:w="5654" w:type="dxa"/>
            <w:tcBorders>
              <w:right w:val="nil"/>
            </w:tcBorders>
          </w:tcPr>
          <w:p>
            <w:pPr>
              <w:spacing w:line="360" w:lineRule="auto"/>
              <w:rPr>
                <w:rFonts w:ascii="微软雅黑" w:hAnsi="微软雅黑" w:eastAsia="微软雅黑" w:cs="微软雅黑"/>
                <w:sz w:val="22"/>
              </w:rPr>
            </w:pPr>
            <w:r>
              <w:rPr>
                <w:rFonts w:hint="eastAsia" w:ascii="微软雅黑" w:hAnsi="微软雅黑" w:eastAsia="微软雅黑" w:cs="微软雅黑"/>
                <w:sz w:val="22"/>
              </w:rPr>
              <w:t>四级、六级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8" w:hRule="atLeast"/>
        </w:trPr>
        <w:tc>
          <w:tcPr>
            <w:tcW w:w="1321" w:type="dxa"/>
            <w:vMerge w:val="continue"/>
            <w:tcBorders>
              <w:left w:val="nil"/>
            </w:tcBorders>
            <w:shd w:val="clear" w:color="auto" w:fill="F1F1F1"/>
            <w:vAlign w:val="center"/>
          </w:tcPr>
          <w:p>
            <w:pPr>
              <w:spacing w:line="360" w:lineRule="auto"/>
              <w:ind w:firstLine="440" w:firstLineChars="200"/>
              <w:jc w:val="center"/>
              <w:rPr>
                <w:rFonts w:ascii="微软雅黑" w:hAnsi="微软雅黑" w:eastAsia="微软雅黑" w:cs="微软雅黑"/>
                <w:b/>
                <w:bCs/>
                <w:sz w:val="22"/>
              </w:rPr>
            </w:pPr>
          </w:p>
        </w:tc>
        <w:tc>
          <w:tcPr>
            <w:tcW w:w="1321" w:type="dxa"/>
            <w:shd w:val="clear" w:color="auto" w:fill="F1F1F1"/>
            <w:noWrap/>
            <w:vAlign w:val="center"/>
          </w:tcPr>
          <w:p>
            <w:pPr>
              <w:spacing w:line="360" w:lineRule="auto"/>
              <w:jc w:val="center"/>
              <w:rPr>
                <w:rFonts w:ascii="微软雅黑" w:hAnsi="微软雅黑" w:eastAsia="微软雅黑" w:cs="微软雅黑"/>
                <w:b/>
                <w:bCs/>
                <w:sz w:val="22"/>
              </w:rPr>
            </w:pPr>
            <w:r>
              <w:rPr>
                <w:rFonts w:hint="eastAsia" w:ascii="微软雅黑" w:hAnsi="微软雅黑" w:eastAsia="微软雅黑" w:cs="微软雅黑"/>
                <w:b/>
                <w:bCs/>
                <w:sz w:val="22"/>
              </w:rPr>
              <w:t>出国留学</w:t>
            </w:r>
          </w:p>
        </w:tc>
        <w:tc>
          <w:tcPr>
            <w:tcW w:w="5654" w:type="dxa"/>
            <w:tcBorders>
              <w:right w:val="nil"/>
            </w:tcBorders>
          </w:tcPr>
          <w:p>
            <w:pPr>
              <w:spacing w:line="360" w:lineRule="auto"/>
              <w:rPr>
                <w:rFonts w:ascii="微软雅黑" w:hAnsi="微软雅黑" w:eastAsia="微软雅黑" w:cs="微软雅黑"/>
                <w:sz w:val="22"/>
              </w:rPr>
            </w:pPr>
            <w:r>
              <w:rPr>
                <w:rFonts w:hint="eastAsia" w:ascii="微软雅黑" w:hAnsi="微软雅黑" w:eastAsia="微软雅黑" w:cs="微软雅黑"/>
                <w:sz w:val="22"/>
              </w:rPr>
              <w:t>GMAT、SAT、GRE、雅思、托福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8" w:hRule="atLeast"/>
        </w:trPr>
        <w:tc>
          <w:tcPr>
            <w:tcW w:w="1321" w:type="dxa"/>
            <w:vMerge w:val="continue"/>
            <w:tcBorders>
              <w:left w:val="nil"/>
            </w:tcBorders>
            <w:shd w:val="clear" w:color="auto" w:fill="F1F1F1"/>
            <w:vAlign w:val="center"/>
          </w:tcPr>
          <w:p>
            <w:pPr>
              <w:spacing w:line="360" w:lineRule="auto"/>
              <w:ind w:firstLine="440" w:firstLineChars="200"/>
              <w:jc w:val="center"/>
              <w:rPr>
                <w:rFonts w:ascii="微软雅黑" w:hAnsi="微软雅黑" w:eastAsia="微软雅黑" w:cs="微软雅黑"/>
                <w:b/>
                <w:bCs/>
                <w:sz w:val="22"/>
              </w:rPr>
            </w:pPr>
          </w:p>
        </w:tc>
        <w:tc>
          <w:tcPr>
            <w:tcW w:w="1321" w:type="dxa"/>
            <w:shd w:val="clear" w:color="auto" w:fill="F1F1F1"/>
            <w:noWrap/>
            <w:vAlign w:val="center"/>
          </w:tcPr>
          <w:p>
            <w:pPr>
              <w:spacing w:line="360" w:lineRule="auto"/>
              <w:jc w:val="center"/>
              <w:rPr>
                <w:rFonts w:ascii="微软雅黑" w:hAnsi="微软雅黑" w:eastAsia="微软雅黑" w:cs="微软雅黑"/>
                <w:b/>
                <w:bCs/>
                <w:sz w:val="22"/>
              </w:rPr>
            </w:pPr>
            <w:r>
              <w:rPr>
                <w:rFonts w:hint="eastAsia" w:ascii="微软雅黑" w:hAnsi="微软雅黑" w:eastAsia="微软雅黑" w:cs="微软雅黑"/>
                <w:b/>
                <w:bCs/>
                <w:sz w:val="22"/>
              </w:rPr>
              <w:t>常用英语</w:t>
            </w:r>
          </w:p>
        </w:tc>
        <w:tc>
          <w:tcPr>
            <w:tcW w:w="5654" w:type="dxa"/>
            <w:tcBorders>
              <w:right w:val="nil"/>
            </w:tcBorders>
          </w:tcPr>
          <w:p>
            <w:pPr>
              <w:spacing w:line="360" w:lineRule="auto"/>
              <w:rPr>
                <w:rFonts w:ascii="微软雅黑" w:hAnsi="微软雅黑" w:eastAsia="微软雅黑" w:cs="微软雅黑"/>
                <w:sz w:val="22"/>
              </w:rPr>
            </w:pPr>
            <w:r>
              <w:rPr>
                <w:rFonts w:hint="eastAsia" w:ascii="微软雅黑" w:hAnsi="微软雅黑" w:eastAsia="微软雅黑" w:cs="微软雅黑"/>
                <w:sz w:val="22"/>
              </w:rPr>
              <w:t>口译、笔译、商务英语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8" w:hRule="atLeast"/>
        </w:trPr>
        <w:tc>
          <w:tcPr>
            <w:tcW w:w="1321" w:type="dxa"/>
            <w:vMerge w:val="continue"/>
            <w:tcBorders>
              <w:left w:val="nil"/>
            </w:tcBorders>
            <w:shd w:val="clear" w:color="auto" w:fill="F1F1F1"/>
            <w:vAlign w:val="center"/>
          </w:tcPr>
          <w:p>
            <w:pPr>
              <w:spacing w:line="360" w:lineRule="auto"/>
              <w:ind w:firstLine="440" w:firstLineChars="200"/>
              <w:jc w:val="center"/>
              <w:rPr>
                <w:rFonts w:ascii="微软雅黑" w:hAnsi="微软雅黑" w:eastAsia="微软雅黑" w:cs="微软雅黑"/>
                <w:b/>
                <w:bCs/>
                <w:sz w:val="22"/>
              </w:rPr>
            </w:pPr>
          </w:p>
        </w:tc>
        <w:tc>
          <w:tcPr>
            <w:tcW w:w="1321" w:type="dxa"/>
            <w:shd w:val="clear" w:color="auto" w:fill="F1F1F1"/>
            <w:noWrap/>
            <w:vAlign w:val="center"/>
          </w:tcPr>
          <w:p>
            <w:pPr>
              <w:spacing w:line="360" w:lineRule="auto"/>
              <w:jc w:val="center"/>
              <w:rPr>
                <w:rFonts w:ascii="微软雅黑" w:hAnsi="微软雅黑" w:eastAsia="微软雅黑" w:cs="微软雅黑"/>
                <w:b/>
                <w:bCs/>
                <w:sz w:val="22"/>
              </w:rPr>
            </w:pPr>
            <w:r>
              <w:rPr>
                <w:rFonts w:hint="eastAsia" w:ascii="微软雅黑" w:hAnsi="微软雅黑" w:eastAsia="微软雅黑" w:cs="微软雅黑"/>
                <w:b/>
                <w:bCs/>
                <w:sz w:val="22"/>
              </w:rPr>
              <w:t>多语种</w:t>
            </w:r>
          </w:p>
        </w:tc>
        <w:tc>
          <w:tcPr>
            <w:tcW w:w="5654" w:type="dxa"/>
            <w:tcBorders>
              <w:right w:val="nil"/>
            </w:tcBorders>
          </w:tcPr>
          <w:p>
            <w:pPr>
              <w:spacing w:line="360" w:lineRule="auto"/>
              <w:rPr>
                <w:rFonts w:ascii="微软雅黑" w:hAnsi="微软雅黑" w:eastAsia="微软雅黑" w:cs="微软雅黑"/>
                <w:sz w:val="22"/>
              </w:rPr>
            </w:pPr>
            <w:r>
              <w:rPr>
                <w:rFonts w:hint="eastAsia" w:ascii="微软雅黑" w:hAnsi="微软雅黑" w:eastAsia="微软雅黑" w:cs="微软雅黑"/>
                <w:sz w:val="22"/>
              </w:rPr>
              <w:t>德语、俄语、法语、韩语、日语、泰语、意大利语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8" w:hRule="atLeast"/>
        </w:trPr>
        <w:tc>
          <w:tcPr>
            <w:tcW w:w="1321" w:type="dxa"/>
            <w:vMerge w:val="restart"/>
            <w:tcBorders>
              <w:left w:val="nil"/>
            </w:tcBorders>
            <w:shd w:val="clear" w:color="auto" w:fill="F1F1F1"/>
            <w:noWrap/>
            <w:vAlign w:val="center"/>
          </w:tcPr>
          <w:p>
            <w:pPr>
              <w:spacing w:line="360" w:lineRule="auto"/>
              <w:jc w:val="center"/>
              <w:rPr>
                <w:rFonts w:ascii="微软雅黑" w:hAnsi="微软雅黑" w:eastAsia="微软雅黑" w:cs="微软雅黑"/>
                <w:b/>
                <w:bCs/>
                <w:sz w:val="22"/>
              </w:rPr>
            </w:pPr>
            <w:r>
              <w:rPr>
                <w:rFonts w:hint="eastAsia" w:ascii="微软雅黑" w:hAnsi="微软雅黑" w:eastAsia="微软雅黑" w:cs="微软雅黑"/>
                <w:b/>
                <w:bCs/>
                <w:sz w:val="22"/>
              </w:rPr>
              <w:t>就业创业</w:t>
            </w:r>
          </w:p>
        </w:tc>
        <w:tc>
          <w:tcPr>
            <w:tcW w:w="1321" w:type="dxa"/>
            <w:shd w:val="clear" w:color="auto" w:fill="F1F1F1"/>
            <w:noWrap/>
            <w:vAlign w:val="center"/>
          </w:tcPr>
          <w:p>
            <w:pPr>
              <w:spacing w:line="360" w:lineRule="auto"/>
              <w:jc w:val="center"/>
              <w:rPr>
                <w:rFonts w:ascii="微软雅黑" w:hAnsi="微软雅黑" w:eastAsia="微软雅黑" w:cs="微软雅黑"/>
                <w:b/>
                <w:bCs/>
                <w:sz w:val="22"/>
              </w:rPr>
            </w:pPr>
            <w:r>
              <w:rPr>
                <w:rFonts w:hint="eastAsia" w:ascii="微软雅黑" w:hAnsi="微软雅黑" w:eastAsia="微软雅黑" w:cs="微软雅黑"/>
                <w:b/>
                <w:bCs/>
                <w:sz w:val="22"/>
              </w:rPr>
              <w:t>求职就业</w:t>
            </w:r>
          </w:p>
        </w:tc>
        <w:tc>
          <w:tcPr>
            <w:tcW w:w="5654" w:type="dxa"/>
            <w:tcBorders>
              <w:right w:val="nil"/>
            </w:tcBorders>
          </w:tcPr>
          <w:p>
            <w:pPr>
              <w:spacing w:line="360" w:lineRule="auto"/>
              <w:rPr>
                <w:rFonts w:ascii="微软雅黑" w:hAnsi="微软雅黑" w:eastAsia="微软雅黑" w:cs="微软雅黑"/>
                <w:sz w:val="22"/>
              </w:rPr>
            </w:pPr>
            <w:r>
              <w:rPr>
                <w:rFonts w:hint="eastAsia" w:ascii="微软雅黑" w:hAnsi="微软雅黑" w:eastAsia="微软雅黑" w:cs="微软雅黑"/>
                <w:sz w:val="22"/>
              </w:rPr>
              <w:t>求职问道、职场风云、职业生涯规划、专家在线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76" w:hRule="atLeast"/>
        </w:trPr>
        <w:tc>
          <w:tcPr>
            <w:tcW w:w="1321" w:type="dxa"/>
            <w:vMerge w:val="continue"/>
            <w:tcBorders>
              <w:left w:val="nil"/>
            </w:tcBorders>
            <w:shd w:val="clear" w:color="auto" w:fill="F1F1F1"/>
            <w:vAlign w:val="center"/>
          </w:tcPr>
          <w:p>
            <w:pPr>
              <w:spacing w:line="360" w:lineRule="auto"/>
              <w:ind w:firstLine="440" w:firstLineChars="200"/>
              <w:jc w:val="center"/>
              <w:rPr>
                <w:rFonts w:ascii="微软雅黑" w:hAnsi="微软雅黑" w:eastAsia="微软雅黑" w:cs="微软雅黑"/>
                <w:b/>
                <w:bCs/>
                <w:sz w:val="22"/>
              </w:rPr>
            </w:pPr>
          </w:p>
        </w:tc>
        <w:tc>
          <w:tcPr>
            <w:tcW w:w="1321" w:type="dxa"/>
            <w:shd w:val="clear" w:color="auto" w:fill="F1F1F1"/>
            <w:noWrap/>
            <w:vAlign w:val="center"/>
          </w:tcPr>
          <w:p>
            <w:pPr>
              <w:spacing w:line="360" w:lineRule="auto"/>
              <w:jc w:val="center"/>
              <w:rPr>
                <w:rFonts w:ascii="微软雅黑" w:hAnsi="微软雅黑" w:eastAsia="微软雅黑" w:cs="微软雅黑"/>
                <w:b/>
                <w:bCs/>
                <w:sz w:val="22"/>
              </w:rPr>
            </w:pPr>
            <w:r>
              <w:rPr>
                <w:rFonts w:hint="eastAsia" w:ascii="微软雅黑" w:hAnsi="微软雅黑" w:eastAsia="微软雅黑" w:cs="微软雅黑"/>
                <w:b/>
                <w:bCs/>
                <w:sz w:val="22"/>
              </w:rPr>
              <w:t>职场提升</w:t>
            </w:r>
          </w:p>
        </w:tc>
        <w:tc>
          <w:tcPr>
            <w:tcW w:w="5654" w:type="dxa"/>
            <w:tcBorders>
              <w:right w:val="nil"/>
            </w:tcBorders>
          </w:tcPr>
          <w:p>
            <w:pPr>
              <w:spacing w:line="360" w:lineRule="auto"/>
              <w:rPr>
                <w:rFonts w:ascii="微软雅黑" w:hAnsi="微软雅黑" w:eastAsia="微软雅黑" w:cs="微软雅黑"/>
                <w:sz w:val="22"/>
              </w:rPr>
            </w:pPr>
            <w:r>
              <w:rPr>
                <w:rFonts w:hint="eastAsia" w:ascii="微软雅黑" w:hAnsi="微软雅黑" w:eastAsia="微软雅黑" w:cs="微软雅黑"/>
                <w:sz w:val="22"/>
              </w:rPr>
              <w:t>财务人力、业内解析、管理能力、人际沟通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8" w:hRule="atLeast"/>
        </w:trPr>
        <w:tc>
          <w:tcPr>
            <w:tcW w:w="1321" w:type="dxa"/>
            <w:vMerge w:val="continue"/>
            <w:tcBorders>
              <w:left w:val="nil"/>
            </w:tcBorders>
            <w:shd w:val="clear" w:color="auto" w:fill="F1F1F1"/>
            <w:vAlign w:val="center"/>
          </w:tcPr>
          <w:p>
            <w:pPr>
              <w:spacing w:line="360" w:lineRule="auto"/>
              <w:ind w:firstLine="440" w:firstLineChars="200"/>
              <w:jc w:val="center"/>
              <w:rPr>
                <w:rFonts w:ascii="微软雅黑" w:hAnsi="微软雅黑" w:eastAsia="微软雅黑" w:cs="微软雅黑"/>
                <w:b/>
                <w:bCs/>
                <w:sz w:val="22"/>
              </w:rPr>
            </w:pPr>
          </w:p>
        </w:tc>
        <w:tc>
          <w:tcPr>
            <w:tcW w:w="1321" w:type="dxa"/>
            <w:shd w:val="clear" w:color="auto" w:fill="F1F1F1"/>
            <w:noWrap/>
            <w:vAlign w:val="center"/>
          </w:tcPr>
          <w:p>
            <w:pPr>
              <w:spacing w:line="360" w:lineRule="auto"/>
              <w:jc w:val="center"/>
              <w:rPr>
                <w:rFonts w:ascii="微软雅黑" w:hAnsi="微软雅黑" w:eastAsia="微软雅黑" w:cs="微软雅黑"/>
                <w:b/>
                <w:bCs/>
                <w:sz w:val="22"/>
              </w:rPr>
            </w:pPr>
            <w:r>
              <w:rPr>
                <w:rFonts w:hint="eastAsia" w:ascii="微软雅黑" w:hAnsi="微软雅黑" w:eastAsia="微软雅黑" w:cs="微软雅黑"/>
                <w:b/>
                <w:bCs/>
                <w:sz w:val="22"/>
              </w:rPr>
              <w:t>职业兴趣</w:t>
            </w:r>
          </w:p>
        </w:tc>
        <w:tc>
          <w:tcPr>
            <w:tcW w:w="5654" w:type="dxa"/>
            <w:tcBorders>
              <w:right w:val="nil"/>
            </w:tcBorders>
          </w:tcPr>
          <w:p>
            <w:pPr>
              <w:spacing w:line="360" w:lineRule="auto"/>
              <w:rPr>
                <w:rFonts w:ascii="微软雅黑" w:hAnsi="微软雅黑" w:eastAsia="微软雅黑" w:cs="微软雅黑"/>
                <w:sz w:val="22"/>
              </w:rPr>
            </w:pPr>
            <w:r>
              <w:rPr>
                <w:rFonts w:hint="eastAsia" w:ascii="微软雅黑" w:hAnsi="微软雅黑" w:eastAsia="微软雅黑" w:cs="微软雅黑"/>
                <w:sz w:val="22"/>
              </w:rPr>
              <w:t>沙画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8" w:hRule="atLeast"/>
        </w:trPr>
        <w:tc>
          <w:tcPr>
            <w:tcW w:w="1321" w:type="dxa"/>
            <w:vMerge w:val="continue"/>
            <w:tcBorders>
              <w:left w:val="nil"/>
            </w:tcBorders>
            <w:shd w:val="clear" w:color="auto" w:fill="F1F1F1"/>
            <w:vAlign w:val="center"/>
          </w:tcPr>
          <w:p>
            <w:pPr>
              <w:spacing w:line="360" w:lineRule="auto"/>
              <w:ind w:firstLine="440" w:firstLineChars="200"/>
              <w:jc w:val="center"/>
              <w:rPr>
                <w:rFonts w:ascii="微软雅黑" w:hAnsi="微软雅黑" w:eastAsia="微软雅黑" w:cs="微软雅黑"/>
                <w:b/>
                <w:bCs/>
                <w:sz w:val="22"/>
              </w:rPr>
            </w:pPr>
          </w:p>
        </w:tc>
        <w:tc>
          <w:tcPr>
            <w:tcW w:w="1321" w:type="dxa"/>
            <w:shd w:val="clear" w:color="auto" w:fill="F1F1F1"/>
            <w:noWrap/>
            <w:vAlign w:val="center"/>
          </w:tcPr>
          <w:p>
            <w:pPr>
              <w:spacing w:line="360" w:lineRule="auto"/>
              <w:jc w:val="center"/>
              <w:rPr>
                <w:rFonts w:ascii="微软雅黑" w:hAnsi="微软雅黑" w:eastAsia="微软雅黑" w:cs="微软雅黑"/>
                <w:b/>
                <w:bCs/>
                <w:sz w:val="22"/>
              </w:rPr>
            </w:pPr>
            <w:r>
              <w:rPr>
                <w:rFonts w:hint="eastAsia" w:ascii="微软雅黑" w:hAnsi="微软雅黑" w:eastAsia="微软雅黑" w:cs="微软雅黑"/>
                <w:b/>
                <w:bCs/>
                <w:sz w:val="22"/>
              </w:rPr>
              <w:t>创业辅导</w:t>
            </w:r>
          </w:p>
        </w:tc>
        <w:tc>
          <w:tcPr>
            <w:tcW w:w="5654" w:type="dxa"/>
            <w:tcBorders>
              <w:right w:val="nil"/>
            </w:tcBorders>
          </w:tcPr>
          <w:p>
            <w:pPr>
              <w:spacing w:line="360" w:lineRule="auto"/>
              <w:rPr>
                <w:rFonts w:ascii="微软雅黑" w:hAnsi="微软雅黑" w:eastAsia="微软雅黑" w:cs="微软雅黑"/>
                <w:sz w:val="22"/>
              </w:rPr>
            </w:pPr>
            <w:r>
              <w:rPr>
                <w:rFonts w:hint="eastAsia" w:ascii="微软雅黑" w:hAnsi="微软雅黑" w:eastAsia="微软雅黑" w:cs="微软雅黑"/>
                <w:sz w:val="22"/>
              </w:rPr>
              <w:t>创业之道、创业者素质、初创企业之管理、国家创业政策解析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52" w:hRule="atLeast"/>
        </w:trPr>
        <w:tc>
          <w:tcPr>
            <w:tcW w:w="1321" w:type="dxa"/>
            <w:vMerge w:val="continue"/>
            <w:tcBorders>
              <w:left w:val="nil"/>
            </w:tcBorders>
            <w:shd w:val="clear" w:color="auto" w:fill="F1F1F1"/>
            <w:vAlign w:val="center"/>
          </w:tcPr>
          <w:p>
            <w:pPr>
              <w:spacing w:line="360" w:lineRule="auto"/>
              <w:ind w:firstLine="440" w:firstLineChars="200"/>
              <w:jc w:val="center"/>
              <w:rPr>
                <w:rFonts w:ascii="微软雅黑" w:hAnsi="微软雅黑" w:eastAsia="微软雅黑" w:cs="微软雅黑"/>
                <w:b/>
                <w:bCs/>
                <w:sz w:val="22"/>
              </w:rPr>
            </w:pPr>
          </w:p>
        </w:tc>
        <w:tc>
          <w:tcPr>
            <w:tcW w:w="1321" w:type="dxa"/>
            <w:shd w:val="clear" w:color="auto" w:fill="F1F1F1"/>
            <w:noWrap/>
            <w:vAlign w:val="center"/>
          </w:tcPr>
          <w:p>
            <w:pPr>
              <w:spacing w:line="360" w:lineRule="auto"/>
              <w:jc w:val="center"/>
              <w:rPr>
                <w:rFonts w:ascii="微软雅黑" w:hAnsi="微软雅黑" w:eastAsia="微软雅黑" w:cs="微软雅黑"/>
                <w:b/>
                <w:bCs/>
                <w:sz w:val="22"/>
              </w:rPr>
            </w:pPr>
            <w:r>
              <w:rPr>
                <w:rFonts w:hint="eastAsia" w:ascii="微软雅黑" w:hAnsi="微软雅黑" w:eastAsia="微软雅黑" w:cs="微软雅黑"/>
                <w:b/>
                <w:bCs/>
                <w:sz w:val="22"/>
              </w:rPr>
              <w:t>岗位解析</w:t>
            </w:r>
          </w:p>
        </w:tc>
        <w:tc>
          <w:tcPr>
            <w:tcW w:w="5654" w:type="dxa"/>
            <w:tcBorders>
              <w:right w:val="nil"/>
            </w:tcBorders>
          </w:tcPr>
          <w:p>
            <w:pPr>
              <w:spacing w:line="360" w:lineRule="auto"/>
              <w:rPr>
                <w:rFonts w:ascii="微软雅黑" w:hAnsi="微软雅黑" w:eastAsia="微软雅黑" w:cs="微软雅黑"/>
                <w:sz w:val="22"/>
              </w:rPr>
            </w:pPr>
            <w:r>
              <w:rPr>
                <w:rFonts w:hint="eastAsia" w:ascii="微软雅黑" w:hAnsi="微软雅黑" w:eastAsia="微软雅黑" w:cs="微软雅黑"/>
                <w:sz w:val="22"/>
              </w:rPr>
              <w:t>IT/计算机/网络类、财务/审计/统计类、公务员类、机械/生产类、建筑房产/装修/物业类、教育/咨询/科研类、金融/保险类、酒店/旅游/服务类、贸易/物流/采购/运输类、美术/设计/创意类、能源/环保/农林类、人力资源类、市场/公关/客服类、销售类、行政/法律/后勤类、医疗/美容保健类、影视/写作/媒体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8" w:hRule="atLeast"/>
        </w:trPr>
        <w:tc>
          <w:tcPr>
            <w:tcW w:w="1321" w:type="dxa"/>
            <w:tcBorders>
              <w:left w:val="nil"/>
            </w:tcBorders>
            <w:shd w:val="clear" w:color="auto" w:fill="F1F1F1"/>
            <w:noWrap/>
            <w:vAlign w:val="center"/>
          </w:tcPr>
          <w:p>
            <w:pPr>
              <w:spacing w:line="360" w:lineRule="auto"/>
              <w:jc w:val="center"/>
              <w:rPr>
                <w:rFonts w:ascii="微软雅黑" w:hAnsi="微软雅黑" w:eastAsia="微软雅黑" w:cs="微软雅黑"/>
                <w:b/>
                <w:bCs/>
                <w:sz w:val="22"/>
              </w:rPr>
            </w:pPr>
            <w:r>
              <w:rPr>
                <w:rFonts w:hint="eastAsia" w:ascii="微软雅黑" w:hAnsi="微软雅黑" w:eastAsia="微软雅黑" w:cs="微软雅黑"/>
                <w:b/>
                <w:bCs/>
                <w:sz w:val="22"/>
              </w:rPr>
              <w:t>公务员考试</w:t>
            </w:r>
          </w:p>
        </w:tc>
        <w:tc>
          <w:tcPr>
            <w:tcW w:w="1321" w:type="dxa"/>
            <w:shd w:val="clear" w:color="auto" w:fill="F1F1F1"/>
            <w:noWrap/>
            <w:vAlign w:val="center"/>
          </w:tcPr>
          <w:p>
            <w:pPr>
              <w:spacing w:line="360" w:lineRule="auto"/>
              <w:jc w:val="center"/>
              <w:rPr>
                <w:rFonts w:ascii="微软雅黑" w:hAnsi="微软雅黑" w:eastAsia="微软雅黑" w:cs="微软雅黑"/>
                <w:b/>
                <w:bCs/>
                <w:sz w:val="22"/>
              </w:rPr>
            </w:pPr>
            <w:r>
              <w:rPr>
                <w:rFonts w:hint="eastAsia" w:ascii="微软雅黑" w:hAnsi="微软雅黑" w:eastAsia="微软雅黑" w:cs="微软雅黑"/>
                <w:b/>
                <w:bCs/>
                <w:sz w:val="22"/>
              </w:rPr>
              <w:t>国家公务员</w:t>
            </w:r>
          </w:p>
        </w:tc>
        <w:tc>
          <w:tcPr>
            <w:tcW w:w="5654" w:type="dxa"/>
            <w:tcBorders>
              <w:right w:val="nil"/>
            </w:tcBorders>
          </w:tcPr>
          <w:p>
            <w:pPr>
              <w:spacing w:line="360" w:lineRule="auto"/>
              <w:rPr>
                <w:rFonts w:ascii="微软雅黑" w:hAnsi="微软雅黑" w:eastAsia="微软雅黑" w:cs="微软雅黑"/>
                <w:sz w:val="22"/>
              </w:rPr>
            </w:pPr>
            <w:r>
              <w:rPr>
                <w:rFonts w:hint="eastAsia" w:ascii="微软雅黑" w:hAnsi="微软雅黑" w:eastAsia="微软雅黑" w:cs="微软雅黑"/>
                <w:sz w:val="22"/>
              </w:rPr>
              <w:t>面试、行测、申论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76" w:hRule="atLeast"/>
        </w:trPr>
        <w:tc>
          <w:tcPr>
            <w:tcW w:w="1321" w:type="dxa"/>
            <w:vMerge w:val="restart"/>
            <w:tcBorders>
              <w:left w:val="nil"/>
            </w:tcBorders>
            <w:shd w:val="clear" w:color="auto" w:fill="F1F1F1"/>
            <w:noWrap/>
            <w:vAlign w:val="center"/>
          </w:tcPr>
          <w:p>
            <w:pPr>
              <w:spacing w:line="360" w:lineRule="auto"/>
              <w:jc w:val="center"/>
              <w:rPr>
                <w:rFonts w:ascii="微软雅黑" w:hAnsi="微软雅黑" w:eastAsia="微软雅黑" w:cs="微软雅黑"/>
                <w:b/>
                <w:bCs/>
                <w:sz w:val="22"/>
              </w:rPr>
            </w:pPr>
            <w:r>
              <w:rPr>
                <w:rFonts w:hint="eastAsia" w:ascii="微软雅黑" w:hAnsi="微软雅黑" w:eastAsia="微软雅黑" w:cs="微软雅黑"/>
                <w:b/>
                <w:bCs/>
                <w:sz w:val="22"/>
              </w:rPr>
              <w:t>职业考证</w:t>
            </w:r>
          </w:p>
        </w:tc>
        <w:tc>
          <w:tcPr>
            <w:tcW w:w="1321" w:type="dxa"/>
            <w:shd w:val="clear" w:color="auto" w:fill="F1F1F1"/>
            <w:noWrap/>
            <w:vAlign w:val="center"/>
          </w:tcPr>
          <w:p>
            <w:pPr>
              <w:spacing w:line="360" w:lineRule="auto"/>
              <w:jc w:val="center"/>
              <w:rPr>
                <w:rFonts w:ascii="微软雅黑" w:hAnsi="微软雅黑" w:eastAsia="微软雅黑" w:cs="微软雅黑"/>
                <w:b/>
                <w:bCs/>
                <w:sz w:val="22"/>
              </w:rPr>
            </w:pPr>
            <w:r>
              <w:rPr>
                <w:rFonts w:hint="eastAsia" w:ascii="微软雅黑" w:hAnsi="微软雅黑" w:eastAsia="微软雅黑" w:cs="微软雅黑"/>
                <w:b/>
                <w:bCs/>
                <w:sz w:val="22"/>
              </w:rPr>
              <w:t>职业技能</w:t>
            </w:r>
          </w:p>
        </w:tc>
        <w:tc>
          <w:tcPr>
            <w:tcW w:w="5654" w:type="dxa"/>
            <w:tcBorders>
              <w:right w:val="nil"/>
            </w:tcBorders>
          </w:tcPr>
          <w:p>
            <w:pPr>
              <w:spacing w:line="360" w:lineRule="auto"/>
              <w:rPr>
                <w:rFonts w:ascii="微软雅黑" w:hAnsi="微软雅黑" w:eastAsia="微软雅黑" w:cs="微软雅黑"/>
                <w:sz w:val="22"/>
              </w:rPr>
            </w:pPr>
            <w:r>
              <w:rPr>
                <w:rFonts w:hint="eastAsia" w:ascii="微软雅黑" w:hAnsi="微软雅黑" w:eastAsia="微软雅黑" w:cs="微软雅黑"/>
                <w:sz w:val="22"/>
              </w:rPr>
              <w:t>计算机等级、人力资源管理师、消防安全工程师、营养师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8" w:hRule="atLeast"/>
        </w:trPr>
        <w:tc>
          <w:tcPr>
            <w:tcW w:w="1321" w:type="dxa"/>
            <w:vMerge w:val="continue"/>
            <w:tcBorders>
              <w:left w:val="nil"/>
            </w:tcBorders>
            <w:shd w:val="clear" w:color="auto" w:fill="F1F1F1"/>
            <w:vAlign w:val="center"/>
          </w:tcPr>
          <w:p>
            <w:pPr>
              <w:spacing w:line="360" w:lineRule="auto"/>
              <w:ind w:firstLine="440" w:firstLineChars="200"/>
              <w:jc w:val="center"/>
              <w:rPr>
                <w:rFonts w:ascii="微软雅黑" w:hAnsi="微软雅黑" w:eastAsia="微软雅黑" w:cs="微软雅黑"/>
                <w:b/>
                <w:bCs/>
                <w:sz w:val="22"/>
              </w:rPr>
            </w:pPr>
          </w:p>
        </w:tc>
        <w:tc>
          <w:tcPr>
            <w:tcW w:w="1321" w:type="dxa"/>
            <w:shd w:val="clear" w:color="auto" w:fill="F1F1F1"/>
            <w:noWrap/>
            <w:vAlign w:val="center"/>
          </w:tcPr>
          <w:p>
            <w:pPr>
              <w:spacing w:line="360" w:lineRule="auto"/>
              <w:jc w:val="center"/>
              <w:rPr>
                <w:rFonts w:ascii="微软雅黑" w:hAnsi="微软雅黑" w:eastAsia="微软雅黑" w:cs="微软雅黑"/>
                <w:b/>
                <w:bCs/>
                <w:sz w:val="22"/>
              </w:rPr>
            </w:pPr>
            <w:r>
              <w:rPr>
                <w:rFonts w:hint="eastAsia" w:ascii="微软雅黑" w:hAnsi="微软雅黑" w:eastAsia="微软雅黑" w:cs="微软雅黑"/>
                <w:b/>
                <w:bCs/>
                <w:sz w:val="22"/>
              </w:rPr>
              <w:t>公职考试</w:t>
            </w:r>
          </w:p>
        </w:tc>
        <w:tc>
          <w:tcPr>
            <w:tcW w:w="5654" w:type="dxa"/>
            <w:tcBorders>
              <w:right w:val="nil"/>
            </w:tcBorders>
          </w:tcPr>
          <w:p>
            <w:pPr>
              <w:spacing w:line="360" w:lineRule="auto"/>
              <w:rPr>
                <w:rFonts w:ascii="微软雅黑" w:hAnsi="微软雅黑" w:eastAsia="微软雅黑" w:cs="微软雅黑"/>
                <w:sz w:val="22"/>
              </w:rPr>
            </w:pPr>
            <w:r>
              <w:rPr>
                <w:rFonts w:hint="eastAsia" w:ascii="微软雅黑" w:hAnsi="微软雅黑" w:eastAsia="微软雅黑" w:cs="微软雅黑"/>
                <w:sz w:val="22"/>
              </w:rPr>
              <w:t>教师资格、社会工作者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8" w:hRule="atLeast"/>
        </w:trPr>
        <w:tc>
          <w:tcPr>
            <w:tcW w:w="1321" w:type="dxa"/>
            <w:vMerge w:val="continue"/>
            <w:tcBorders>
              <w:left w:val="nil"/>
            </w:tcBorders>
            <w:shd w:val="clear" w:color="auto" w:fill="F1F1F1"/>
            <w:vAlign w:val="center"/>
          </w:tcPr>
          <w:p>
            <w:pPr>
              <w:spacing w:line="360" w:lineRule="auto"/>
              <w:ind w:firstLine="440" w:firstLineChars="200"/>
              <w:jc w:val="center"/>
              <w:rPr>
                <w:rFonts w:ascii="微软雅黑" w:hAnsi="微软雅黑" w:eastAsia="微软雅黑" w:cs="微软雅黑"/>
                <w:b/>
                <w:bCs/>
                <w:sz w:val="22"/>
              </w:rPr>
            </w:pPr>
          </w:p>
        </w:tc>
        <w:tc>
          <w:tcPr>
            <w:tcW w:w="1321" w:type="dxa"/>
            <w:shd w:val="clear" w:color="auto" w:fill="F1F1F1"/>
            <w:noWrap/>
            <w:vAlign w:val="center"/>
          </w:tcPr>
          <w:p>
            <w:pPr>
              <w:spacing w:line="360" w:lineRule="auto"/>
              <w:jc w:val="center"/>
              <w:rPr>
                <w:rFonts w:ascii="微软雅黑" w:hAnsi="微软雅黑" w:eastAsia="微软雅黑" w:cs="微软雅黑"/>
                <w:b/>
                <w:bCs/>
                <w:sz w:val="22"/>
              </w:rPr>
            </w:pPr>
            <w:r>
              <w:rPr>
                <w:rFonts w:hint="eastAsia" w:ascii="微软雅黑" w:hAnsi="微软雅黑" w:eastAsia="微软雅黑" w:cs="微软雅黑"/>
                <w:b/>
                <w:bCs/>
                <w:sz w:val="22"/>
              </w:rPr>
              <w:t>医药卫生</w:t>
            </w:r>
          </w:p>
        </w:tc>
        <w:tc>
          <w:tcPr>
            <w:tcW w:w="5654" w:type="dxa"/>
            <w:tcBorders>
              <w:right w:val="nil"/>
            </w:tcBorders>
          </w:tcPr>
          <w:p>
            <w:pPr>
              <w:spacing w:line="360" w:lineRule="auto"/>
              <w:rPr>
                <w:rFonts w:ascii="微软雅黑" w:hAnsi="微软雅黑" w:eastAsia="微软雅黑" w:cs="微软雅黑"/>
                <w:sz w:val="22"/>
              </w:rPr>
            </w:pPr>
            <w:r>
              <w:rPr>
                <w:rFonts w:hint="eastAsia" w:ascii="微软雅黑" w:hAnsi="微软雅黑" w:eastAsia="微软雅黑" w:cs="微软雅黑"/>
                <w:sz w:val="22"/>
              </w:rPr>
              <w:t>卫生资格、执业医师、执业护士</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8" w:hRule="atLeast"/>
        </w:trPr>
        <w:tc>
          <w:tcPr>
            <w:tcW w:w="1321" w:type="dxa"/>
            <w:vMerge w:val="continue"/>
            <w:tcBorders>
              <w:left w:val="nil"/>
            </w:tcBorders>
            <w:shd w:val="clear" w:color="auto" w:fill="F1F1F1"/>
            <w:vAlign w:val="center"/>
          </w:tcPr>
          <w:p>
            <w:pPr>
              <w:spacing w:line="360" w:lineRule="auto"/>
              <w:ind w:firstLine="440" w:firstLineChars="200"/>
              <w:jc w:val="center"/>
              <w:rPr>
                <w:rFonts w:ascii="微软雅黑" w:hAnsi="微软雅黑" w:eastAsia="微软雅黑" w:cs="微软雅黑"/>
                <w:b/>
                <w:bCs/>
                <w:sz w:val="22"/>
              </w:rPr>
            </w:pPr>
          </w:p>
        </w:tc>
        <w:tc>
          <w:tcPr>
            <w:tcW w:w="1321" w:type="dxa"/>
            <w:shd w:val="clear" w:color="auto" w:fill="F1F1F1"/>
            <w:noWrap/>
            <w:vAlign w:val="center"/>
          </w:tcPr>
          <w:p>
            <w:pPr>
              <w:spacing w:line="360" w:lineRule="auto"/>
              <w:jc w:val="center"/>
              <w:rPr>
                <w:rFonts w:ascii="微软雅黑" w:hAnsi="微软雅黑" w:eastAsia="微软雅黑" w:cs="微软雅黑"/>
                <w:b/>
                <w:bCs/>
                <w:sz w:val="22"/>
              </w:rPr>
            </w:pPr>
            <w:r>
              <w:rPr>
                <w:rFonts w:hint="eastAsia" w:ascii="微软雅黑" w:hAnsi="微软雅黑" w:eastAsia="微软雅黑" w:cs="微软雅黑"/>
                <w:b/>
                <w:bCs/>
                <w:sz w:val="22"/>
              </w:rPr>
              <w:t>工程建筑</w:t>
            </w:r>
          </w:p>
        </w:tc>
        <w:tc>
          <w:tcPr>
            <w:tcW w:w="5654" w:type="dxa"/>
            <w:tcBorders>
              <w:right w:val="nil"/>
            </w:tcBorders>
          </w:tcPr>
          <w:p>
            <w:pPr>
              <w:spacing w:line="360" w:lineRule="auto"/>
              <w:rPr>
                <w:rFonts w:ascii="微软雅黑" w:hAnsi="微软雅黑" w:eastAsia="微软雅黑" w:cs="微软雅黑"/>
                <w:sz w:val="22"/>
              </w:rPr>
            </w:pPr>
            <w:r>
              <w:rPr>
                <w:rFonts w:hint="eastAsia" w:ascii="微软雅黑" w:hAnsi="微软雅黑" w:eastAsia="微软雅黑" w:cs="微软雅黑"/>
                <w:sz w:val="22"/>
              </w:rPr>
              <w:t>二级建造师、监理工程师、咨询工程师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76" w:hRule="atLeast"/>
        </w:trPr>
        <w:tc>
          <w:tcPr>
            <w:tcW w:w="1321" w:type="dxa"/>
            <w:vMerge w:val="continue"/>
            <w:tcBorders>
              <w:left w:val="nil"/>
            </w:tcBorders>
            <w:shd w:val="clear" w:color="auto" w:fill="F1F1F1"/>
            <w:vAlign w:val="center"/>
          </w:tcPr>
          <w:p>
            <w:pPr>
              <w:spacing w:line="360" w:lineRule="auto"/>
              <w:ind w:firstLine="440" w:firstLineChars="200"/>
              <w:jc w:val="center"/>
              <w:rPr>
                <w:rFonts w:ascii="微软雅黑" w:hAnsi="微软雅黑" w:eastAsia="微软雅黑" w:cs="微软雅黑"/>
                <w:b/>
                <w:bCs/>
                <w:sz w:val="22"/>
              </w:rPr>
            </w:pPr>
          </w:p>
        </w:tc>
        <w:tc>
          <w:tcPr>
            <w:tcW w:w="1321" w:type="dxa"/>
            <w:shd w:val="clear" w:color="auto" w:fill="F1F1F1"/>
            <w:noWrap/>
            <w:vAlign w:val="center"/>
          </w:tcPr>
          <w:p>
            <w:pPr>
              <w:spacing w:line="360" w:lineRule="auto"/>
              <w:jc w:val="center"/>
              <w:rPr>
                <w:rFonts w:ascii="微软雅黑" w:hAnsi="微软雅黑" w:eastAsia="微软雅黑" w:cs="微软雅黑"/>
                <w:b/>
                <w:bCs/>
                <w:sz w:val="22"/>
              </w:rPr>
            </w:pPr>
            <w:r>
              <w:rPr>
                <w:rFonts w:hint="eastAsia" w:ascii="微软雅黑" w:hAnsi="微软雅黑" w:eastAsia="微软雅黑" w:cs="微软雅黑"/>
                <w:b/>
                <w:bCs/>
                <w:sz w:val="22"/>
              </w:rPr>
              <w:t>财会经贸</w:t>
            </w:r>
          </w:p>
        </w:tc>
        <w:tc>
          <w:tcPr>
            <w:tcW w:w="5654" w:type="dxa"/>
            <w:tcBorders>
              <w:right w:val="nil"/>
            </w:tcBorders>
          </w:tcPr>
          <w:p>
            <w:pPr>
              <w:spacing w:line="360" w:lineRule="auto"/>
              <w:rPr>
                <w:rFonts w:ascii="微软雅黑" w:hAnsi="微软雅黑" w:eastAsia="微软雅黑" w:cs="微软雅黑"/>
                <w:sz w:val="22"/>
              </w:rPr>
            </w:pPr>
            <w:r>
              <w:rPr>
                <w:rFonts w:hint="eastAsia" w:ascii="微软雅黑" w:hAnsi="微软雅黑" w:eastAsia="微软雅黑" w:cs="微软雅黑"/>
                <w:sz w:val="22"/>
              </w:rPr>
              <w:t>会计实操、会计职称、注册会计师、经济师、基金从业资格认证、期货从业资格认证、银行从业资格认证、证券从业资格认证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8" w:hRule="atLeast"/>
        </w:trPr>
        <w:tc>
          <w:tcPr>
            <w:tcW w:w="1321" w:type="dxa"/>
            <w:vMerge w:val="continue"/>
            <w:tcBorders>
              <w:left w:val="nil"/>
            </w:tcBorders>
            <w:shd w:val="clear" w:color="auto" w:fill="F1F1F1"/>
            <w:vAlign w:val="center"/>
          </w:tcPr>
          <w:p>
            <w:pPr>
              <w:spacing w:line="360" w:lineRule="auto"/>
              <w:ind w:firstLine="440" w:firstLineChars="200"/>
              <w:jc w:val="center"/>
              <w:rPr>
                <w:rFonts w:ascii="微软雅黑" w:hAnsi="微软雅黑" w:eastAsia="微软雅黑" w:cs="微软雅黑"/>
                <w:b/>
                <w:bCs/>
                <w:sz w:val="22"/>
              </w:rPr>
            </w:pPr>
          </w:p>
        </w:tc>
        <w:tc>
          <w:tcPr>
            <w:tcW w:w="1321" w:type="dxa"/>
            <w:shd w:val="clear" w:color="auto" w:fill="F1F1F1"/>
            <w:noWrap/>
            <w:vAlign w:val="center"/>
          </w:tcPr>
          <w:p>
            <w:pPr>
              <w:spacing w:line="360" w:lineRule="auto"/>
              <w:jc w:val="center"/>
              <w:rPr>
                <w:rFonts w:ascii="微软雅黑" w:hAnsi="微软雅黑" w:eastAsia="微软雅黑" w:cs="微软雅黑"/>
                <w:b/>
                <w:bCs/>
                <w:sz w:val="22"/>
              </w:rPr>
            </w:pPr>
            <w:r>
              <w:rPr>
                <w:rFonts w:hint="eastAsia" w:ascii="微软雅黑" w:hAnsi="微软雅黑" w:eastAsia="微软雅黑" w:cs="微软雅黑"/>
                <w:b/>
                <w:bCs/>
                <w:sz w:val="22"/>
              </w:rPr>
              <w:t>法律法规</w:t>
            </w:r>
          </w:p>
        </w:tc>
        <w:tc>
          <w:tcPr>
            <w:tcW w:w="5654" w:type="dxa"/>
            <w:tcBorders>
              <w:right w:val="nil"/>
            </w:tcBorders>
          </w:tcPr>
          <w:p>
            <w:pPr>
              <w:spacing w:line="360" w:lineRule="auto"/>
              <w:rPr>
                <w:rFonts w:ascii="微软雅黑" w:hAnsi="微软雅黑" w:eastAsia="微软雅黑" w:cs="微软雅黑"/>
                <w:sz w:val="22"/>
              </w:rPr>
            </w:pPr>
            <w:r>
              <w:rPr>
                <w:rFonts w:hint="eastAsia" w:ascii="微软雅黑" w:hAnsi="微软雅黑" w:eastAsia="微软雅黑" w:cs="微软雅黑"/>
                <w:sz w:val="22"/>
              </w:rPr>
              <w:t>司法考试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76" w:hRule="atLeast"/>
        </w:trPr>
        <w:tc>
          <w:tcPr>
            <w:tcW w:w="1321" w:type="dxa"/>
            <w:vMerge w:val="restart"/>
            <w:tcBorders>
              <w:left w:val="nil"/>
            </w:tcBorders>
            <w:shd w:val="clear" w:color="auto" w:fill="F1F1F1"/>
            <w:noWrap/>
            <w:vAlign w:val="center"/>
          </w:tcPr>
          <w:p>
            <w:pPr>
              <w:spacing w:line="360" w:lineRule="auto"/>
              <w:jc w:val="center"/>
              <w:rPr>
                <w:rFonts w:ascii="微软雅黑" w:hAnsi="微软雅黑" w:eastAsia="微软雅黑" w:cs="微软雅黑"/>
                <w:b/>
                <w:bCs/>
                <w:sz w:val="22"/>
              </w:rPr>
            </w:pPr>
            <w:r>
              <w:rPr>
                <w:rFonts w:hint="eastAsia" w:ascii="微软雅黑" w:hAnsi="微软雅黑" w:eastAsia="微软雅黑" w:cs="微软雅黑"/>
                <w:b/>
                <w:bCs/>
                <w:sz w:val="22"/>
              </w:rPr>
              <w:t>馆员发展</w:t>
            </w:r>
          </w:p>
        </w:tc>
        <w:tc>
          <w:tcPr>
            <w:tcW w:w="1321" w:type="dxa"/>
            <w:shd w:val="clear" w:color="auto" w:fill="F1F1F1"/>
            <w:noWrap/>
            <w:vAlign w:val="center"/>
          </w:tcPr>
          <w:p>
            <w:pPr>
              <w:spacing w:line="360" w:lineRule="auto"/>
              <w:jc w:val="center"/>
              <w:rPr>
                <w:rFonts w:ascii="微软雅黑" w:hAnsi="微软雅黑" w:eastAsia="微软雅黑" w:cs="微软雅黑"/>
                <w:b/>
                <w:bCs/>
                <w:sz w:val="22"/>
              </w:rPr>
            </w:pPr>
            <w:r>
              <w:rPr>
                <w:rFonts w:hint="eastAsia" w:ascii="微软雅黑" w:hAnsi="微软雅黑" w:eastAsia="微软雅黑" w:cs="微软雅黑"/>
                <w:b/>
                <w:bCs/>
                <w:sz w:val="22"/>
              </w:rPr>
              <w:t>学术会议</w:t>
            </w:r>
          </w:p>
        </w:tc>
        <w:tc>
          <w:tcPr>
            <w:tcW w:w="5654" w:type="dxa"/>
            <w:tcBorders>
              <w:right w:val="nil"/>
            </w:tcBorders>
          </w:tcPr>
          <w:p>
            <w:pPr>
              <w:spacing w:line="360" w:lineRule="auto"/>
              <w:rPr>
                <w:rFonts w:ascii="微软雅黑" w:hAnsi="微软雅黑" w:eastAsia="微软雅黑" w:cs="微软雅黑"/>
                <w:sz w:val="22"/>
              </w:rPr>
            </w:pPr>
            <w:r>
              <w:rPr>
                <w:rFonts w:hint="eastAsia" w:ascii="微软雅黑" w:hAnsi="微软雅黑" w:eastAsia="微软雅黑" w:cs="微软雅黑"/>
                <w:sz w:val="22"/>
              </w:rPr>
              <w:t>“智慧图书馆从理论到实践”学术研讨会、2013、2014、2015、201</w:t>
            </w:r>
            <w:r>
              <w:rPr>
                <w:rFonts w:ascii="微软雅黑" w:hAnsi="微软雅黑" w:eastAsia="微软雅黑" w:cs="微软雅黑"/>
                <w:sz w:val="22"/>
              </w:rPr>
              <w:t>6</w:t>
            </w:r>
            <w:r>
              <w:rPr>
                <w:rFonts w:hint="eastAsia" w:ascii="微软雅黑" w:hAnsi="微软雅黑" w:eastAsia="微软雅黑" w:cs="微软雅黑"/>
                <w:sz w:val="22"/>
              </w:rPr>
              <w:t>、2017、2018、2</w:t>
            </w:r>
            <w:r>
              <w:rPr>
                <w:rFonts w:ascii="微软雅黑" w:hAnsi="微软雅黑" w:eastAsia="微软雅黑" w:cs="微软雅黑"/>
                <w:sz w:val="22"/>
              </w:rPr>
              <w:t>019</w:t>
            </w:r>
            <w:r>
              <w:rPr>
                <w:rFonts w:hint="eastAsia" w:ascii="微软雅黑" w:hAnsi="微软雅黑" w:eastAsia="微软雅黑" w:cs="微软雅黑"/>
                <w:sz w:val="22"/>
              </w:rPr>
              <w:t>中国高校图书馆发展论坛、2017全国图书馆新型服务能力建设学术研讨会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76" w:hRule="atLeast"/>
        </w:trPr>
        <w:tc>
          <w:tcPr>
            <w:tcW w:w="1321" w:type="dxa"/>
            <w:vMerge w:val="continue"/>
            <w:tcBorders>
              <w:left w:val="nil"/>
            </w:tcBorders>
            <w:shd w:val="clear" w:color="auto" w:fill="F1F1F1"/>
          </w:tcPr>
          <w:p>
            <w:pPr>
              <w:spacing w:line="360" w:lineRule="auto"/>
              <w:ind w:firstLine="440" w:firstLineChars="200"/>
              <w:rPr>
                <w:rFonts w:ascii="微软雅黑" w:hAnsi="微软雅黑" w:eastAsia="微软雅黑" w:cs="微软雅黑"/>
                <w:b/>
                <w:bCs/>
                <w:sz w:val="22"/>
              </w:rPr>
            </w:pPr>
          </w:p>
        </w:tc>
        <w:tc>
          <w:tcPr>
            <w:tcW w:w="1321" w:type="dxa"/>
            <w:shd w:val="clear" w:color="auto" w:fill="F1F1F1"/>
            <w:noWrap/>
            <w:vAlign w:val="center"/>
          </w:tcPr>
          <w:p>
            <w:pPr>
              <w:spacing w:line="360" w:lineRule="auto"/>
              <w:jc w:val="center"/>
              <w:rPr>
                <w:rFonts w:ascii="微软雅黑" w:hAnsi="微软雅黑" w:eastAsia="微软雅黑" w:cs="微软雅黑"/>
                <w:sz w:val="22"/>
              </w:rPr>
            </w:pPr>
            <w:r>
              <w:rPr>
                <w:rFonts w:hint="eastAsia" w:ascii="微软雅黑" w:hAnsi="微软雅黑" w:eastAsia="微软雅黑" w:cs="微软雅黑"/>
                <w:b/>
                <w:bCs/>
                <w:sz w:val="22"/>
              </w:rPr>
              <w:t>专业学科</w:t>
            </w:r>
          </w:p>
        </w:tc>
        <w:tc>
          <w:tcPr>
            <w:tcW w:w="5654" w:type="dxa"/>
            <w:tcBorders>
              <w:right w:val="nil"/>
            </w:tcBorders>
          </w:tcPr>
          <w:p>
            <w:pPr>
              <w:spacing w:line="360" w:lineRule="auto"/>
              <w:rPr>
                <w:rFonts w:ascii="微软雅黑" w:hAnsi="微软雅黑" w:eastAsia="微软雅黑" w:cs="微软雅黑"/>
                <w:sz w:val="22"/>
              </w:rPr>
            </w:pPr>
            <w:r>
              <w:rPr>
                <w:rFonts w:hint="eastAsia" w:ascii="微软雅黑" w:hAnsi="微软雅黑" w:eastAsia="微软雅黑" w:cs="微软雅黑"/>
                <w:sz w:val="22"/>
              </w:rPr>
              <w:t>读者服务、高校数字图书馆建设、古籍书发展、馆藏发展与资源共享、图书馆学基础理论、信息检索</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00" w:hRule="atLeast"/>
        </w:trPr>
        <w:tc>
          <w:tcPr>
            <w:tcW w:w="1321" w:type="dxa"/>
            <w:tcBorders>
              <w:left w:val="nil"/>
              <w:bottom w:val="nil"/>
            </w:tcBorders>
            <w:shd w:val="clear" w:color="auto" w:fill="F1F1F1"/>
            <w:noWrap/>
            <w:vAlign w:val="center"/>
          </w:tcPr>
          <w:p>
            <w:pPr>
              <w:spacing w:line="360" w:lineRule="auto"/>
              <w:ind w:firstLine="440" w:firstLineChars="200"/>
              <w:rPr>
                <w:rFonts w:ascii="微软雅黑" w:hAnsi="微软雅黑" w:eastAsia="微软雅黑" w:cs="微软雅黑"/>
                <w:b/>
                <w:bCs/>
                <w:sz w:val="22"/>
              </w:rPr>
            </w:pPr>
            <w:r>
              <w:rPr>
                <w:rFonts w:hint="eastAsia" w:ascii="微软雅黑" w:hAnsi="微软雅黑" w:eastAsia="微软雅黑" w:cs="微软雅黑"/>
                <w:b/>
                <w:bCs/>
                <w:sz w:val="22"/>
              </w:rPr>
              <w:t>合计</w:t>
            </w:r>
          </w:p>
        </w:tc>
        <w:tc>
          <w:tcPr>
            <w:tcW w:w="6975" w:type="dxa"/>
            <w:gridSpan w:val="2"/>
            <w:tcBorders>
              <w:bottom w:val="nil"/>
              <w:right w:val="nil"/>
            </w:tcBorders>
            <w:shd w:val="clear" w:color="auto" w:fill="F1F1F1"/>
            <w:vAlign w:val="center"/>
          </w:tcPr>
          <w:p>
            <w:pPr>
              <w:spacing w:line="360" w:lineRule="auto"/>
              <w:jc w:val="center"/>
              <w:rPr>
                <w:rFonts w:ascii="微软雅黑" w:hAnsi="微软雅黑" w:eastAsia="微软雅黑" w:cs="微软雅黑"/>
                <w:sz w:val="22"/>
              </w:rPr>
            </w:pPr>
            <w:r>
              <w:rPr>
                <w:rFonts w:hint="eastAsia" w:ascii="微软雅黑" w:hAnsi="微软雅黑" w:eastAsia="微软雅黑" w:cs="微软雅黑"/>
                <w:b/>
                <w:bCs/>
                <w:sz w:val="22"/>
              </w:rPr>
              <w:t>1</w:t>
            </w:r>
            <w:r>
              <w:rPr>
                <w:rFonts w:ascii="微软雅黑" w:hAnsi="微软雅黑" w:eastAsia="微软雅黑" w:cs="微软雅黑"/>
                <w:b/>
                <w:bCs/>
                <w:sz w:val="22"/>
              </w:rPr>
              <w:t>390</w:t>
            </w:r>
            <w:r>
              <w:rPr>
                <w:rFonts w:hint="eastAsia" w:ascii="微软雅黑" w:hAnsi="微软雅黑" w:eastAsia="微软雅黑" w:cs="微软雅黑"/>
                <w:b/>
                <w:bCs/>
                <w:sz w:val="22"/>
              </w:rPr>
              <w:t>+门课程，共计214</w:t>
            </w:r>
            <w:r>
              <w:rPr>
                <w:rFonts w:ascii="微软雅黑" w:hAnsi="微软雅黑" w:eastAsia="微软雅黑" w:cs="微软雅黑"/>
                <w:b/>
                <w:bCs/>
                <w:sz w:val="22"/>
              </w:rPr>
              <w:t>00</w:t>
            </w:r>
            <w:r>
              <w:rPr>
                <w:rFonts w:hint="eastAsia" w:ascii="微软雅黑" w:hAnsi="微软雅黑" w:eastAsia="微软雅黑" w:cs="微软雅黑"/>
                <w:b/>
                <w:bCs/>
                <w:sz w:val="22"/>
              </w:rPr>
              <w:t>+篇</w:t>
            </w:r>
          </w:p>
        </w:tc>
      </w:tr>
    </w:tbl>
    <w:p>
      <w:pPr>
        <w:pStyle w:val="3"/>
        <w:numPr>
          <w:ilvl w:val="0"/>
          <w:numId w:val="2"/>
        </w:numPr>
        <w:spacing w:line="360" w:lineRule="auto"/>
        <w:rPr>
          <w:rFonts w:ascii="微软雅黑" w:hAnsi="微软雅黑" w:eastAsia="微软雅黑" w:cs="微软雅黑"/>
          <w:b w:val="0"/>
          <w:bCs w:val="0"/>
        </w:rPr>
      </w:pPr>
      <w:bookmarkStart w:id="18" w:name="_Toc1951"/>
      <w:bookmarkStart w:id="19" w:name="_Toc14188"/>
      <w:bookmarkStart w:id="20" w:name="_Toc9631"/>
      <w:r>
        <w:rPr>
          <w:rFonts w:hint="eastAsia" w:ascii="微软雅黑" w:hAnsi="微软雅黑" w:eastAsia="微软雅黑" w:cs="微软雅黑"/>
          <w:b w:val="0"/>
          <w:bCs w:val="0"/>
          <w:lang w:val="en-US" w:eastAsia="zh-CN"/>
        </w:rPr>
        <w:t>就业创业课程目录（企业版）</w:t>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4"/>
        <w:gridCol w:w="1704"/>
        <w:gridCol w:w="48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8284" w:type="dxa"/>
            <w:gridSpan w:val="3"/>
            <w:vAlign w:val="top"/>
          </w:tcPr>
          <w:p>
            <w:pPr>
              <w:jc w:val="center"/>
              <w:rPr>
                <w:rFonts w:hint="eastAsia"/>
                <w:b/>
                <w:bCs/>
                <w:vertAlign w:val="baseline"/>
              </w:rPr>
            </w:pPr>
            <w:r>
              <w:rPr>
                <w:rFonts w:hint="eastAsia" w:ascii="微软雅黑" w:hAnsi="微软雅黑" w:eastAsia="微软雅黑" w:cs="微软雅黑"/>
                <w:b/>
                <w:color w:val="000000"/>
                <w:sz w:val="22"/>
                <w:szCs w:val="22"/>
              </w:rPr>
              <w:t>众创课堂资源目录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1704" w:type="dxa"/>
            <w:vAlign w:val="top"/>
          </w:tcPr>
          <w:p>
            <w:pPr>
              <w:spacing w:beforeLines="0" w:afterLines="0"/>
              <w:jc w:val="center"/>
              <w:rPr>
                <w:rFonts w:hint="eastAsia" w:ascii="微软雅黑" w:hAnsi="微软雅黑" w:eastAsia="微软雅黑" w:cs="微软雅黑"/>
                <w:sz w:val="22"/>
                <w:szCs w:val="22"/>
                <w:vertAlign w:val="baseline"/>
                <w:lang w:val="en-US" w:eastAsia="zh-CN"/>
              </w:rPr>
            </w:pPr>
            <w:r>
              <w:rPr>
                <w:rFonts w:hint="eastAsia" w:ascii="微软雅黑" w:hAnsi="微软雅黑" w:eastAsia="微软雅黑" w:cs="微软雅黑"/>
                <w:b/>
                <w:color w:val="000000"/>
                <w:sz w:val="22"/>
                <w:szCs w:val="22"/>
              </w:rPr>
              <w:t>一级分类</w:t>
            </w:r>
          </w:p>
        </w:tc>
        <w:tc>
          <w:tcPr>
            <w:tcW w:w="1704" w:type="dxa"/>
          </w:tcPr>
          <w:p>
            <w:pPr>
              <w:ind w:firstLine="272" w:firstLineChars="0"/>
              <w:rPr>
                <w:rFonts w:hint="eastAsia" w:ascii="微软雅黑" w:hAnsi="微软雅黑" w:eastAsia="微软雅黑" w:cs="微软雅黑"/>
                <w:b/>
                <w:bCs/>
                <w:sz w:val="22"/>
                <w:szCs w:val="22"/>
                <w:vertAlign w:val="baseline"/>
              </w:rPr>
            </w:pPr>
            <w:r>
              <w:rPr>
                <w:rFonts w:hint="eastAsia" w:ascii="微软雅黑" w:hAnsi="微软雅黑" w:eastAsia="微软雅黑" w:cs="微软雅黑"/>
                <w:b/>
                <w:bCs/>
                <w:sz w:val="22"/>
                <w:szCs w:val="22"/>
                <w:vertAlign w:val="baseline"/>
              </w:rPr>
              <w:t>创业意识</w:t>
            </w:r>
          </w:p>
        </w:tc>
        <w:tc>
          <w:tcPr>
            <w:tcW w:w="4876" w:type="dxa"/>
          </w:tcPr>
          <w:p>
            <w:pPr>
              <w:rPr>
                <w:rFonts w:hint="eastAsia"/>
                <w:b/>
                <w:bCs/>
                <w:vertAlign w:val="baseline"/>
              </w:rPr>
            </w:pPr>
          </w:p>
          <w:p>
            <w:pPr>
              <w:jc w:val="center"/>
              <w:rPr>
                <w:vertAlign w:val="baseline"/>
              </w:rPr>
            </w:pPr>
            <w:r>
              <w:rPr>
                <w:rFonts w:hint="eastAsia"/>
                <w:b/>
                <w:bCs/>
                <w:vertAlign w:val="baseline"/>
              </w:rPr>
              <w:t>创业意识及案例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vMerge w:val="restart"/>
            <w:vAlign w:val="top"/>
          </w:tcPr>
          <w:p>
            <w:pPr>
              <w:spacing w:beforeLines="0" w:afterLines="0"/>
              <w:jc w:val="center"/>
              <w:rPr>
                <w:rFonts w:hint="eastAsia" w:ascii="微软雅黑" w:hAnsi="微软雅黑" w:eastAsia="微软雅黑" w:cs="微软雅黑"/>
                <w:sz w:val="22"/>
                <w:szCs w:val="22"/>
                <w:vertAlign w:val="baseline"/>
              </w:rPr>
            </w:pPr>
            <w:r>
              <w:rPr>
                <w:rFonts w:hint="eastAsia" w:ascii="微软雅黑" w:hAnsi="微软雅黑" w:eastAsia="微软雅黑" w:cs="微软雅黑"/>
                <w:b/>
                <w:color w:val="000000"/>
                <w:sz w:val="22"/>
                <w:szCs w:val="22"/>
              </w:rPr>
              <w:t>创业</w:t>
            </w:r>
          </w:p>
        </w:tc>
        <w:tc>
          <w:tcPr>
            <w:tcW w:w="1704" w:type="dxa"/>
            <w:vMerge w:val="restart"/>
          </w:tcPr>
          <w:p>
            <w:pPr>
              <w:jc w:val="center"/>
              <w:rPr>
                <w:rFonts w:hint="eastAsia" w:ascii="微软雅黑" w:hAnsi="微软雅黑" w:eastAsia="微软雅黑" w:cs="微软雅黑"/>
                <w:b/>
                <w:bCs/>
                <w:sz w:val="22"/>
                <w:szCs w:val="22"/>
                <w:vertAlign w:val="baseline"/>
              </w:rPr>
            </w:pPr>
          </w:p>
          <w:p>
            <w:pPr>
              <w:jc w:val="both"/>
              <w:rPr>
                <w:rFonts w:hint="eastAsia" w:ascii="微软雅黑" w:hAnsi="微软雅黑" w:eastAsia="微软雅黑" w:cs="微软雅黑"/>
                <w:b/>
                <w:bCs/>
                <w:sz w:val="22"/>
                <w:szCs w:val="22"/>
                <w:vertAlign w:val="baseline"/>
              </w:rPr>
            </w:pPr>
          </w:p>
          <w:p>
            <w:pPr>
              <w:ind w:firstLine="220" w:firstLineChars="100"/>
              <w:jc w:val="both"/>
              <w:rPr>
                <w:rFonts w:hint="eastAsia" w:ascii="微软雅黑" w:hAnsi="微软雅黑" w:eastAsia="微软雅黑" w:cs="微软雅黑"/>
                <w:b/>
                <w:bCs/>
                <w:sz w:val="22"/>
                <w:szCs w:val="22"/>
                <w:vertAlign w:val="baseline"/>
              </w:rPr>
            </w:pPr>
            <w:r>
              <w:rPr>
                <w:rFonts w:hint="eastAsia" w:ascii="微软雅黑" w:hAnsi="微软雅黑" w:eastAsia="微软雅黑" w:cs="微软雅黑"/>
                <w:b/>
                <w:bCs/>
                <w:sz w:val="22"/>
                <w:szCs w:val="22"/>
                <w:vertAlign w:val="baseline"/>
              </w:rPr>
              <w:t>初创企业</w:t>
            </w:r>
          </w:p>
        </w:tc>
        <w:tc>
          <w:tcPr>
            <w:tcW w:w="4876" w:type="dxa"/>
            <w:vAlign w:val="center"/>
          </w:tcPr>
          <w:p>
            <w:pPr>
              <w:keepNext w:val="0"/>
              <w:keepLines w:val="0"/>
              <w:widowControl/>
              <w:suppressLineNumbers w:val="0"/>
              <w:jc w:val="center"/>
              <w:textAlignment w:val="center"/>
              <w:rPr>
                <w:vertAlign w:val="baseline"/>
              </w:rPr>
            </w:pPr>
            <w:r>
              <w:rPr>
                <w:rFonts w:hint="eastAsia" w:ascii="宋体" w:hAnsi="宋体" w:eastAsia="宋体" w:cs="宋体"/>
                <w:b/>
                <w:i w:val="0"/>
                <w:color w:val="000000"/>
                <w:kern w:val="0"/>
                <w:sz w:val="22"/>
                <w:szCs w:val="22"/>
                <w:u w:val="none"/>
                <w:lang w:val="en-US" w:eastAsia="zh-CN" w:bidi="ar"/>
              </w:rPr>
              <w:t>创业构想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vMerge w:val="continue"/>
            <w:vAlign w:val="top"/>
          </w:tcPr>
          <w:p>
            <w:pPr>
              <w:spacing w:beforeLines="0" w:afterLines="0"/>
              <w:jc w:val="center"/>
              <w:rPr>
                <w:rFonts w:hint="eastAsia" w:ascii="微软雅黑" w:hAnsi="微软雅黑" w:eastAsia="微软雅黑" w:cs="微软雅黑"/>
                <w:sz w:val="22"/>
                <w:szCs w:val="22"/>
                <w:vertAlign w:val="baseline"/>
              </w:rPr>
            </w:pPr>
          </w:p>
        </w:tc>
        <w:tc>
          <w:tcPr>
            <w:tcW w:w="1704" w:type="dxa"/>
            <w:vMerge w:val="continue"/>
          </w:tcPr>
          <w:p>
            <w:pPr>
              <w:jc w:val="center"/>
              <w:rPr>
                <w:rFonts w:hint="eastAsia" w:ascii="微软雅黑" w:hAnsi="微软雅黑" w:eastAsia="微软雅黑" w:cs="微软雅黑"/>
                <w:b/>
                <w:bCs/>
                <w:sz w:val="22"/>
                <w:szCs w:val="22"/>
                <w:vertAlign w:val="baseline"/>
              </w:rPr>
            </w:pPr>
          </w:p>
        </w:tc>
        <w:tc>
          <w:tcPr>
            <w:tcW w:w="4876" w:type="dxa"/>
            <w:vAlign w:val="center"/>
          </w:tcPr>
          <w:p>
            <w:pPr>
              <w:keepNext w:val="0"/>
              <w:keepLines w:val="0"/>
              <w:widowControl/>
              <w:suppressLineNumbers w:val="0"/>
              <w:jc w:val="center"/>
              <w:textAlignment w:val="center"/>
              <w:rPr>
                <w:vertAlign w:val="baseline"/>
              </w:rPr>
            </w:pPr>
            <w:r>
              <w:rPr>
                <w:rFonts w:hint="eastAsia" w:ascii="宋体" w:hAnsi="宋体" w:eastAsia="宋体" w:cs="宋体"/>
                <w:b/>
                <w:i w:val="0"/>
                <w:color w:val="000000"/>
                <w:kern w:val="0"/>
                <w:sz w:val="22"/>
                <w:szCs w:val="22"/>
                <w:u w:val="none"/>
                <w:lang w:val="en-US" w:eastAsia="zh-CN" w:bidi="ar"/>
              </w:rPr>
              <w:t>市场评估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vMerge w:val="continue"/>
            <w:vAlign w:val="top"/>
          </w:tcPr>
          <w:p>
            <w:pPr>
              <w:spacing w:beforeLines="0" w:afterLines="0"/>
              <w:jc w:val="center"/>
              <w:rPr>
                <w:rFonts w:hint="eastAsia" w:ascii="微软雅黑" w:hAnsi="微软雅黑" w:eastAsia="微软雅黑" w:cs="微软雅黑"/>
                <w:sz w:val="22"/>
                <w:szCs w:val="22"/>
                <w:vertAlign w:val="baseline"/>
              </w:rPr>
            </w:pPr>
          </w:p>
        </w:tc>
        <w:tc>
          <w:tcPr>
            <w:tcW w:w="1704" w:type="dxa"/>
            <w:vMerge w:val="continue"/>
          </w:tcPr>
          <w:p>
            <w:pPr>
              <w:jc w:val="center"/>
              <w:rPr>
                <w:rFonts w:hint="eastAsia" w:ascii="微软雅黑" w:hAnsi="微软雅黑" w:eastAsia="微软雅黑" w:cs="微软雅黑"/>
                <w:b/>
                <w:bCs/>
                <w:sz w:val="22"/>
                <w:szCs w:val="22"/>
                <w:vertAlign w:val="baseline"/>
              </w:rPr>
            </w:pPr>
          </w:p>
        </w:tc>
        <w:tc>
          <w:tcPr>
            <w:tcW w:w="4876" w:type="dxa"/>
            <w:vAlign w:val="center"/>
          </w:tcPr>
          <w:p>
            <w:pPr>
              <w:keepNext w:val="0"/>
              <w:keepLines w:val="0"/>
              <w:widowControl/>
              <w:suppressLineNumbers w:val="0"/>
              <w:jc w:val="center"/>
              <w:textAlignment w:val="center"/>
              <w:rPr>
                <w:vertAlign w:val="baseline"/>
              </w:rPr>
            </w:pPr>
            <w:r>
              <w:rPr>
                <w:rFonts w:hint="eastAsia" w:ascii="宋体" w:hAnsi="宋体" w:eastAsia="宋体" w:cs="宋体"/>
                <w:b/>
                <w:i w:val="0"/>
                <w:color w:val="000000"/>
                <w:kern w:val="0"/>
                <w:sz w:val="22"/>
                <w:szCs w:val="22"/>
                <w:u w:val="none"/>
                <w:lang w:val="en-US" w:eastAsia="zh-CN" w:bidi="ar"/>
              </w:rPr>
              <w:t>企业人员组织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vMerge w:val="continue"/>
            <w:vAlign w:val="top"/>
          </w:tcPr>
          <w:p>
            <w:pPr>
              <w:spacing w:beforeLines="0" w:afterLines="0"/>
              <w:jc w:val="center"/>
              <w:rPr>
                <w:rFonts w:hint="eastAsia" w:ascii="微软雅黑" w:hAnsi="微软雅黑" w:eastAsia="微软雅黑" w:cs="微软雅黑"/>
                <w:sz w:val="22"/>
                <w:szCs w:val="22"/>
                <w:vertAlign w:val="baseline"/>
              </w:rPr>
            </w:pPr>
          </w:p>
        </w:tc>
        <w:tc>
          <w:tcPr>
            <w:tcW w:w="1704" w:type="dxa"/>
            <w:vMerge w:val="continue"/>
          </w:tcPr>
          <w:p>
            <w:pPr>
              <w:jc w:val="center"/>
              <w:rPr>
                <w:rFonts w:hint="eastAsia" w:ascii="微软雅黑" w:hAnsi="微软雅黑" w:eastAsia="微软雅黑" w:cs="微软雅黑"/>
                <w:b/>
                <w:bCs/>
                <w:sz w:val="22"/>
                <w:szCs w:val="22"/>
                <w:vertAlign w:val="baseline"/>
              </w:rPr>
            </w:pPr>
          </w:p>
        </w:tc>
        <w:tc>
          <w:tcPr>
            <w:tcW w:w="4876" w:type="dxa"/>
            <w:vAlign w:val="center"/>
          </w:tcPr>
          <w:p>
            <w:pPr>
              <w:keepNext w:val="0"/>
              <w:keepLines w:val="0"/>
              <w:widowControl/>
              <w:suppressLineNumbers w:val="0"/>
              <w:jc w:val="center"/>
              <w:textAlignment w:val="center"/>
              <w:rPr>
                <w:vertAlign w:val="baseline"/>
              </w:rPr>
            </w:pPr>
            <w:r>
              <w:rPr>
                <w:rFonts w:hint="eastAsia" w:ascii="宋体" w:hAnsi="宋体" w:eastAsia="宋体" w:cs="宋体"/>
                <w:b/>
                <w:i w:val="0"/>
                <w:color w:val="000000"/>
                <w:kern w:val="0"/>
                <w:sz w:val="22"/>
                <w:szCs w:val="22"/>
                <w:u w:val="none"/>
                <w:lang w:val="en-US" w:eastAsia="zh-CN" w:bidi="ar"/>
              </w:rPr>
              <w:t>法律环境及责任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vMerge w:val="continue"/>
            <w:vAlign w:val="top"/>
          </w:tcPr>
          <w:p>
            <w:pPr>
              <w:spacing w:beforeLines="0" w:afterLines="0"/>
              <w:jc w:val="center"/>
              <w:rPr>
                <w:rFonts w:hint="eastAsia" w:ascii="微软雅黑" w:hAnsi="微软雅黑" w:eastAsia="微软雅黑" w:cs="微软雅黑"/>
                <w:sz w:val="22"/>
                <w:szCs w:val="22"/>
                <w:vertAlign w:val="baseline"/>
              </w:rPr>
            </w:pPr>
          </w:p>
        </w:tc>
        <w:tc>
          <w:tcPr>
            <w:tcW w:w="1704" w:type="dxa"/>
            <w:vMerge w:val="continue"/>
          </w:tcPr>
          <w:p>
            <w:pPr>
              <w:jc w:val="center"/>
              <w:rPr>
                <w:rFonts w:hint="eastAsia" w:ascii="微软雅黑" w:hAnsi="微软雅黑" w:eastAsia="微软雅黑" w:cs="微软雅黑"/>
                <w:b/>
                <w:bCs/>
                <w:sz w:val="22"/>
                <w:szCs w:val="22"/>
                <w:vertAlign w:val="baseline"/>
              </w:rPr>
            </w:pPr>
          </w:p>
        </w:tc>
        <w:tc>
          <w:tcPr>
            <w:tcW w:w="4876" w:type="dxa"/>
            <w:vAlign w:val="center"/>
          </w:tcPr>
          <w:p>
            <w:pPr>
              <w:keepNext w:val="0"/>
              <w:keepLines w:val="0"/>
              <w:widowControl/>
              <w:suppressLineNumbers w:val="0"/>
              <w:jc w:val="center"/>
              <w:textAlignment w:val="center"/>
              <w:rPr>
                <w:vertAlign w:val="baseline"/>
              </w:rPr>
            </w:pPr>
            <w:r>
              <w:rPr>
                <w:rFonts w:hint="eastAsia" w:ascii="宋体" w:hAnsi="宋体" w:eastAsia="宋体" w:cs="宋体"/>
                <w:b/>
                <w:i w:val="0"/>
                <w:color w:val="000000"/>
                <w:kern w:val="0"/>
                <w:sz w:val="22"/>
                <w:szCs w:val="22"/>
                <w:u w:val="none"/>
                <w:lang w:val="en-US" w:eastAsia="zh-CN" w:bidi="ar"/>
              </w:rPr>
              <w:t>启动资金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vMerge w:val="continue"/>
            <w:vAlign w:val="top"/>
          </w:tcPr>
          <w:p>
            <w:pPr>
              <w:spacing w:beforeLines="0" w:afterLines="0"/>
              <w:jc w:val="center"/>
              <w:rPr>
                <w:rFonts w:hint="eastAsia" w:ascii="微软雅黑" w:hAnsi="微软雅黑" w:eastAsia="微软雅黑" w:cs="微软雅黑"/>
                <w:sz w:val="22"/>
                <w:szCs w:val="22"/>
                <w:vertAlign w:val="baseline"/>
              </w:rPr>
            </w:pPr>
          </w:p>
        </w:tc>
        <w:tc>
          <w:tcPr>
            <w:tcW w:w="1704" w:type="dxa"/>
            <w:vMerge w:val="continue"/>
          </w:tcPr>
          <w:p>
            <w:pPr>
              <w:jc w:val="center"/>
              <w:rPr>
                <w:rFonts w:hint="eastAsia" w:ascii="微软雅黑" w:hAnsi="微软雅黑" w:eastAsia="微软雅黑" w:cs="微软雅黑"/>
                <w:b/>
                <w:bCs/>
                <w:sz w:val="22"/>
                <w:szCs w:val="22"/>
                <w:vertAlign w:val="baseline"/>
              </w:rPr>
            </w:pPr>
          </w:p>
        </w:tc>
        <w:tc>
          <w:tcPr>
            <w:tcW w:w="4876" w:type="dxa"/>
            <w:vAlign w:val="center"/>
          </w:tcPr>
          <w:p>
            <w:pPr>
              <w:keepNext w:val="0"/>
              <w:keepLines w:val="0"/>
              <w:widowControl/>
              <w:suppressLineNumbers w:val="0"/>
              <w:jc w:val="center"/>
              <w:textAlignment w:val="center"/>
              <w:rPr>
                <w:vertAlign w:val="baseline"/>
              </w:rPr>
            </w:pPr>
            <w:r>
              <w:rPr>
                <w:rFonts w:hint="eastAsia" w:ascii="宋体" w:hAnsi="宋体" w:eastAsia="宋体" w:cs="宋体"/>
                <w:b/>
                <w:i w:val="0"/>
                <w:color w:val="000000"/>
                <w:kern w:val="0"/>
                <w:sz w:val="22"/>
                <w:szCs w:val="22"/>
                <w:u w:val="none"/>
                <w:lang w:val="en-US" w:eastAsia="zh-CN" w:bidi="ar"/>
              </w:rPr>
              <w:t>营销及利润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vMerge w:val="continue"/>
            <w:vAlign w:val="top"/>
          </w:tcPr>
          <w:p>
            <w:pPr>
              <w:spacing w:beforeLines="0" w:afterLines="0"/>
              <w:jc w:val="center"/>
              <w:rPr>
                <w:rFonts w:hint="eastAsia" w:ascii="微软雅黑" w:hAnsi="微软雅黑" w:eastAsia="微软雅黑" w:cs="微软雅黑"/>
                <w:sz w:val="22"/>
                <w:szCs w:val="22"/>
                <w:vertAlign w:val="baseline"/>
              </w:rPr>
            </w:pPr>
          </w:p>
        </w:tc>
        <w:tc>
          <w:tcPr>
            <w:tcW w:w="1704" w:type="dxa"/>
            <w:vMerge w:val="continue"/>
          </w:tcPr>
          <w:p>
            <w:pPr>
              <w:jc w:val="center"/>
              <w:rPr>
                <w:rFonts w:hint="eastAsia" w:ascii="微软雅黑" w:hAnsi="微软雅黑" w:eastAsia="微软雅黑" w:cs="微软雅黑"/>
                <w:b/>
                <w:bCs/>
                <w:sz w:val="22"/>
                <w:szCs w:val="22"/>
                <w:vertAlign w:val="baseline"/>
              </w:rPr>
            </w:pPr>
          </w:p>
        </w:tc>
        <w:tc>
          <w:tcPr>
            <w:tcW w:w="4876" w:type="dxa"/>
            <w:vAlign w:val="center"/>
          </w:tcPr>
          <w:p>
            <w:pPr>
              <w:keepNext w:val="0"/>
              <w:keepLines w:val="0"/>
              <w:widowControl/>
              <w:suppressLineNumbers w:val="0"/>
              <w:jc w:val="center"/>
              <w:textAlignment w:val="center"/>
              <w:rPr>
                <w:vertAlign w:val="baseline"/>
              </w:rPr>
            </w:pPr>
            <w:r>
              <w:rPr>
                <w:rFonts w:hint="eastAsia" w:ascii="宋体" w:hAnsi="宋体" w:eastAsia="宋体" w:cs="宋体"/>
                <w:b/>
                <w:i w:val="0"/>
                <w:color w:val="000000"/>
                <w:kern w:val="0"/>
                <w:sz w:val="22"/>
                <w:szCs w:val="22"/>
                <w:u w:val="none"/>
                <w:lang w:val="en-US" w:eastAsia="zh-CN" w:bidi="ar"/>
              </w:rPr>
              <w:t>企业生存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704" w:type="dxa"/>
            <w:vMerge w:val="continue"/>
            <w:vAlign w:val="top"/>
          </w:tcPr>
          <w:p>
            <w:pPr>
              <w:spacing w:beforeLines="0" w:afterLines="0"/>
              <w:jc w:val="center"/>
              <w:rPr>
                <w:rFonts w:hint="eastAsia" w:ascii="微软雅黑" w:hAnsi="微软雅黑" w:eastAsia="微软雅黑" w:cs="微软雅黑"/>
                <w:sz w:val="22"/>
                <w:szCs w:val="22"/>
                <w:vertAlign w:val="baseline"/>
              </w:rPr>
            </w:pPr>
          </w:p>
        </w:tc>
        <w:tc>
          <w:tcPr>
            <w:tcW w:w="1704" w:type="dxa"/>
            <w:vMerge w:val="continue"/>
          </w:tcPr>
          <w:p>
            <w:pPr>
              <w:jc w:val="center"/>
              <w:rPr>
                <w:rFonts w:hint="eastAsia" w:ascii="微软雅黑" w:hAnsi="微软雅黑" w:eastAsia="微软雅黑" w:cs="微软雅黑"/>
                <w:b/>
                <w:bCs/>
                <w:sz w:val="22"/>
                <w:szCs w:val="22"/>
                <w:vertAlign w:val="baseline"/>
              </w:rPr>
            </w:pPr>
          </w:p>
        </w:tc>
        <w:tc>
          <w:tcPr>
            <w:tcW w:w="4876" w:type="dxa"/>
            <w:vAlign w:val="center"/>
          </w:tcPr>
          <w:p>
            <w:pPr>
              <w:keepNext w:val="0"/>
              <w:keepLines w:val="0"/>
              <w:widowControl/>
              <w:suppressLineNumbers w:val="0"/>
              <w:jc w:val="center"/>
              <w:textAlignment w:val="center"/>
              <w:rPr>
                <w:vertAlign w:val="baseline"/>
              </w:rPr>
            </w:pPr>
            <w:r>
              <w:rPr>
                <w:rFonts w:hint="eastAsia" w:ascii="宋体" w:hAnsi="宋体" w:eastAsia="宋体" w:cs="宋体"/>
                <w:b/>
                <w:i w:val="0"/>
                <w:color w:val="000000"/>
                <w:kern w:val="0"/>
                <w:sz w:val="22"/>
                <w:szCs w:val="22"/>
                <w:u w:val="none"/>
                <w:lang w:val="en-US" w:eastAsia="zh-CN" w:bidi="ar"/>
              </w:rPr>
              <w:t>创办企业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vMerge w:val="continue"/>
            <w:vAlign w:val="top"/>
          </w:tcPr>
          <w:p>
            <w:pPr>
              <w:spacing w:beforeLines="0" w:afterLines="0"/>
              <w:jc w:val="center"/>
              <w:rPr>
                <w:rFonts w:hint="eastAsia" w:ascii="微软雅黑" w:hAnsi="微软雅黑" w:eastAsia="微软雅黑" w:cs="微软雅黑"/>
                <w:sz w:val="22"/>
                <w:szCs w:val="22"/>
                <w:vertAlign w:val="baseline"/>
              </w:rPr>
            </w:pPr>
          </w:p>
        </w:tc>
        <w:tc>
          <w:tcPr>
            <w:tcW w:w="1704" w:type="dxa"/>
            <w:vMerge w:val="restart"/>
          </w:tcPr>
          <w:p>
            <w:pPr>
              <w:ind w:firstLine="220" w:firstLineChars="100"/>
              <w:rPr>
                <w:rFonts w:hint="eastAsia" w:ascii="微软雅黑" w:hAnsi="微软雅黑" w:eastAsia="微软雅黑" w:cs="微软雅黑"/>
                <w:b/>
                <w:bCs/>
                <w:sz w:val="22"/>
                <w:szCs w:val="22"/>
                <w:vertAlign w:val="baseline"/>
                <w:lang w:val="en-US" w:eastAsia="zh-CN"/>
              </w:rPr>
            </w:pPr>
          </w:p>
          <w:p>
            <w:pPr>
              <w:ind w:firstLine="220" w:firstLineChars="100"/>
              <w:rPr>
                <w:rFonts w:hint="eastAsia" w:ascii="微软雅黑" w:hAnsi="微软雅黑" w:eastAsia="微软雅黑" w:cs="微软雅黑"/>
                <w:b/>
                <w:bCs/>
                <w:sz w:val="22"/>
                <w:szCs w:val="22"/>
                <w:vertAlign w:val="baseline"/>
                <w:lang w:val="en-US" w:eastAsia="zh-CN"/>
              </w:rPr>
            </w:pPr>
            <w:r>
              <w:rPr>
                <w:rFonts w:hint="eastAsia" w:ascii="微软雅黑" w:hAnsi="微软雅黑" w:eastAsia="微软雅黑" w:cs="微软雅黑"/>
                <w:b/>
                <w:bCs/>
                <w:sz w:val="22"/>
                <w:szCs w:val="22"/>
                <w:vertAlign w:val="baseline"/>
                <w:lang w:val="en-US" w:eastAsia="zh-CN"/>
              </w:rPr>
              <w:t>改善企业</w:t>
            </w:r>
          </w:p>
        </w:tc>
        <w:tc>
          <w:tcPr>
            <w:tcW w:w="4876" w:type="dxa"/>
            <w:vAlign w:val="top"/>
          </w:tcPr>
          <w:p>
            <w:pPr>
              <w:spacing w:beforeLines="0" w:afterLines="0"/>
              <w:jc w:val="center"/>
              <w:rPr>
                <w:rFonts w:hint="eastAsia" w:ascii="宋体" w:hAnsi="宋体" w:eastAsia="宋体" w:cs="Times New Roman"/>
                <w:b/>
                <w:color w:val="000000"/>
                <w:kern w:val="2"/>
                <w:sz w:val="22"/>
                <w:szCs w:val="22"/>
                <w:lang w:val="en-US" w:eastAsia="zh-CN" w:bidi="ar-SA"/>
              </w:rPr>
            </w:pPr>
            <w:r>
              <w:rPr>
                <w:rFonts w:hint="eastAsia" w:ascii="宋体" w:hAnsi="宋体"/>
                <w:b/>
                <w:color w:val="000000"/>
                <w:sz w:val="22"/>
              </w:rPr>
              <w:t>市场营销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vMerge w:val="continue"/>
            <w:vAlign w:val="top"/>
          </w:tcPr>
          <w:p>
            <w:pPr>
              <w:spacing w:beforeLines="0" w:afterLines="0"/>
              <w:jc w:val="center"/>
              <w:rPr>
                <w:rFonts w:hint="eastAsia" w:ascii="微软雅黑" w:hAnsi="微软雅黑" w:eastAsia="微软雅黑" w:cs="微软雅黑"/>
                <w:sz w:val="22"/>
                <w:szCs w:val="22"/>
                <w:vertAlign w:val="baseline"/>
              </w:rPr>
            </w:pPr>
          </w:p>
        </w:tc>
        <w:tc>
          <w:tcPr>
            <w:tcW w:w="1704" w:type="dxa"/>
            <w:vMerge w:val="continue"/>
          </w:tcPr>
          <w:p>
            <w:pPr>
              <w:rPr>
                <w:rFonts w:hint="eastAsia" w:ascii="微软雅黑" w:hAnsi="微软雅黑" w:eastAsia="微软雅黑" w:cs="微软雅黑"/>
                <w:sz w:val="22"/>
                <w:szCs w:val="22"/>
                <w:vertAlign w:val="baseline"/>
              </w:rPr>
            </w:pPr>
          </w:p>
        </w:tc>
        <w:tc>
          <w:tcPr>
            <w:tcW w:w="4876" w:type="dxa"/>
            <w:vAlign w:val="top"/>
          </w:tcPr>
          <w:p>
            <w:pPr>
              <w:spacing w:beforeLines="0" w:afterLines="0"/>
              <w:jc w:val="center"/>
              <w:rPr>
                <w:rFonts w:hint="eastAsia" w:ascii="宋体" w:hAnsi="宋体" w:eastAsia="宋体" w:cs="Times New Roman"/>
                <w:b/>
                <w:color w:val="000000"/>
                <w:kern w:val="2"/>
                <w:sz w:val="22"/>
                <w:szCs w:val="22"/>
                <w:lang w:val="en-US" w:eastAsia="zh-CN" w:bidi="ar-SA"/>
              </w:rPr>
            </w:pPr>
            <w:r>
              <w:rPr>
                <w:rFonts w:hint="eastAsia" w:ascii="宋体" w:hAnsi="宋体"/>
                <w:b/>
                <w:color w:val="000000"/>
                <w:sz w:val="22"/>
              </w:rPr>
              <w:t>采购管理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vMerge w:val="continue"/>
            <w:vAlign w:val="top"/>
          </w:tcPr>
          <w:p>
            <w:pPr>
              <w:spacing w:beforeLines="0" w:afterLines="0"/>
              <w:jc w:val="center"/>
              <w:rPr>
                <w:rFonts w:hint="eastAsia" w:ascii="微软雅黑" w:hAnsi="微软雅黑" w:eastAsia="微软雅黑" w:cs="微软雅黑"/>
                <w:sz w:val="22"/>
                <w:szCs w:val="22"/>
                <w:vertAlign w:val="baseline"/>
              </w:rPr>
            </w:pPr>
          </w:p>
        </w:tc>
        <w:tc>
          <w:tcPr>
            <w:tcW w:w="1704" w:type="dxa"/>
            <w:vMerge w:val="continue"/>
          </w:tcPr>
          <w:p>
            <w:pPr>
              <w:rPr>
                <w:rFonts w:hint="eastAsia" w:ascii="微软雅黑" w:hAnsi="微软雅黑" w:eastAsia="微软雅黑" w:cs="微软雅黑"/>
                <w:sz w:val="22"/>
                <w:szCs w:val="22"/>
                <w:vertAlign w:val="baseline"/>
              </w:rPr>
            </w:pPr>
          </w:p>
        </w:tc>
        <w:tc>
          <w:tcPr>
            <w:tcW w:w="4876" w:type="dxa"/>
            <w:vAlign w:val="top"/>
          </w:tcPr>
          <w:p>
            <w:pPr>
              <w:spacing w:beforeLines="0" w:afterLines="0"/>
              <w:jc w:val="center"/>
              <w:rPr>
                <w:rFonts w:hint="eastAsia" w:ascii="宋体" w:hAnsi="宋体" w:eastAsia="宋体" w:cs="Times New Roman"/>
                <w:b/>
                <w:color w:val="000000"/>
                <w:kern w:val="2"/>
                <w:sz w:val="22"/>
                <w:szCs w:val="22"/>
                <w:lang w:val="en-US" w:eastAsia="zh-CN" w:bidi="ar-SA"/>
              </w:rPr>
            </w:pPr>
            <w:r>
              <w:rPr>
                <w:rFonts w:hint="eastAsia" w:ascii="宋体" w:hAnsi="宋体"/>
                <w:b/>
                <w:color w:val="000000"/>
                <w:sz w:val="22"/>
              </w:rPr>
              <w:t>存货管理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vMerge w:val="continue"/>
            <w:vAlign w:val="top"/>
          </w:tcPr>
          <w:p>
            <w:pPr>
              <w:spacing w:beforeLines="0" w:afterLines="0"/>
              <w:jc w:val="center"/>
              <w:rPr>
                <w:rFonts w:hint="eastAsia" w:ascii="微软雅黑" w:hAnsi="微软雅黑" w:eastAsia="微软雅黑" w:cs="微软雅黑"/>
                <w:sz w:val="22"/>
                <w:szCs w:val="22"/>
                <w:vertAlign w:val="baseline"/>
              </w:rPr>
            </w:pPr>
          </w:p>
        </w:tc>
        <w:tc>
          <w:tcPr>
            <w:tcW w:w="1704" w:type="dxa"/>
            <w:vMerge w:val="continue"/>
          </w:tcPr>
          <w:p>
            <w:pPr>
              <w:rPr>
                <w:rFonts w:hint="eastAsia" w:ascii="微软雅黑" w:hAnsi="微软雅黑" w:eastAsia="微软雅黑" w:cs="微软雅黑"/>
                <w:sz w:val="22"/>
                <w:szCs w:val="22"/>
                <w:vertAlign w:val="baseline"/>
              </w:rPr>
            </w:pPr>
          </w:p>
        </w:tc>
        <w:tc>
          <w:tcPr>
            <w:tcW w:w="4876" w:type="dxa"/>
            <w:vAlign w:val="top"/>
          </w:tcPr>
          <w:p>
            <w:pPr>
              <w:spacing w:beforeLines="0" w:afterLines="0"/>
              <w:jc w:val="center"/>
              <w:rPr>
                <w:rFonts w:hint="eastAsia" w:ascii="宋体" w:hAnsi="宋体" w:eastAsia="宋体" w:cs="Times New Roman"/>
                <w:b/>
                <w:color w:val="000000"/>
                <w:kern w:val="2"/>
                <w:sz w:val="22"/>
                <w:szCs w:val="22"/>
                <w:lang w:val="en-US" w:eastAsia="zh-CN" w:bidi="ar-SA"/>
              </w:rPr>
            </w:pPr>
            <w:r>
              <w:rPr>
                <w:rFonts w:hint="eastAsia" w:ascii="宋体" w:hAnsi="宋体"/>
                <w:b/>
                <w:color w:val="000000"/>
                <w:sz w:val="22"/>
              </w:rPr>
              <w:t>成本核算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vMerge w:val="continue"/>
            <w:vAlign w:val="top"/>
          </w:tcPr>
          <w:p>
            <w:pPr>
              <w:spacing w:beforeLines="0" w:afterLines="0"/>
              <w:jc w:val="center"/>
              <w:rPr>
                <w:rFonts w:hint="eastAsia" w:ascii="微软雅黑" w:hAnsi="微软雅黑" w:eastAsia="微软雅黑" w:cs="微软雅黑"/>
                <w:sz w:val="22"/>
                <w:szCs w:val="22"/>
                <w:vertAlign w:val="baseline"/>
              </w:rPr>
            </w:pPr>
          </w:p>
        </w:tc>
        <w:tc>
          <w:tcPr>
            <w:tcW w:w="1704" w:type="dxa"/>
            <w:vMerge w:val="continue"/>
          </w:tcPr>
          <w:p>
            <w:pPr>
              <w:rPr>
                <w:rFonts w:hint="eastAsia" w:ascii="微软雅黑" w:hAnsi="微软雅黑" w:eastAsia="微软雅黑" w:cs="微软雅黑"/>
                <w:sz w:val="22"/>
                <w:szCs w:val="22"/>
                <w:vertAlign w:val="baseline"/>
              </w:rPr>
            </w:pPr>
          </w:p>
        </w:tc>
        <w:tc>
          <w:tcPr>
            <w:tcW w:w="4876" w:type="dxa"/>
            <w:vAlign w:val="top"/>
          </w:tcPr>
          <w:p>
            <w:pPr>
              <w:spacing w:beforeLines="0" w:afterLines="0"/>
              <w:jc w:val="center"/>
              <w:rPr>
                <w:rFonts w:hint="eastAsia" w:ascii="宋体" w:hAnsi="宋体" w:eastAsia="宋体" w:cs="Times New Roman"/>
                <w:b/>
                <w:color w:val="000000"/>
                <w:kern w:val="2"/>
                <w:sz w:val="22"/>
                <w:szCs w:val="22"/>
                <w:lang w:val="en-US" w:eastAsia="zh-CN" w:bidi="ar-SA"/>
              </w:rPr>
            </w:pPr>
            <w:r>
              <w:rPr>
                <w:rFonts w:hint="eastAsia" w:ascii="宋体" w:hAnsi="宋体"/>
                <w:b/>
                <w:color w:val="000000"/>
                <w:sz w:val="22"/>
              </w:rPr>
              <w:t>记账管理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vMerge w:val="continue"/>
            <w:vAlign w:val="top"/>
          </w:tcPr>
          <w:p>
            <w:pPr>
              <w:spacing w:beforeLines="0" w:afterLines="0"/>
              <w:jc w:val="center"/>
              <w:rPr>
                <w:rFonts w:hint="eastAsia" w:ascii="微软雅黑" w:hAnsi="微软雅黑" w:eastAsia="微软雅黑" w:cs="微软雅黑"/>
                <w:sz w:val="22"/>
                <w:szCs w:val="22"/>
                <w:vertAlign w:val="baseline"/>
              </w:rPr>
            </w:pPr>
          </w:p>
        </w:tc>
        <w:tc>
          <w:tcPr>
            <w:tcW w:w="1704" w:type="dxa"/>
            <w:vMerge w:val="continue"/>
          </w:tcPr>
          <w:p>
            <w:pPr>
              <w:rPr>
                <w:rFonts w:hint="eastAsia" w:ascii="微软雅黑" w:hAnsi="微软雅黑" w:eastAsia="微软雅黑" w:cs="微软雅黑"/>
                <w:sz w:val="22"/>
                <w:szCs w:val="22"/>
                <w:vertAlign w:val="baseline"/>
              </w:rPr>
            </w:pPr>
          </w:p>
        </w:tc>
        <w:tc>
          <w:tcPr>
            <w:tcW w:w="4876" w:type="dxa"/>
            <w:vAlign w:val="top"/>
          </w:tcPr>
          <w:p>
            <w:pPr>
              <w:spacing w:beforeLines="0" w:afterLines="0"/>
              <w:jc w:val="center"/>
              <w:rPr>
                <w:rFonts w:hint="eastAsia" w:ascii="宋体" w:hAnsi="宋体" w:eastAsia="宋体" w:cs="Times New Roman"/>
                <w:b/>
                <w:color w:val="000000"/>
                <w:kern w:val="2"/>
                <w:sz w:val="22"/>
                <w:szCs w:val="22"/>
                <w:lang w:val="en-US" w:eastAsia="zh-CN" w:bidi="ar-SA"/>
              </w:rPr>
            </w:pPr>
            <w:r>
              <w:rPr>
                <w:rFonts w:hint="eastAsia" w:ascii="宋体" w:hAnsi="宋体"/>
                <w:b/>
                <w:color w:val="000000"/>
                <w:sz w:val="22"/>
              </w:rPr>
              <w:t>企业计划书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vMerge w:val="continue"/>
            <w:vAlign w:val="top"/>
          </w:tcPr>
          <w:p>
            <w:pPr>
              <w:spacing w:beforeLines="0" w:afterLines="0"/>
              <w:jc w:val="center"/>
              <w:rPr>
                <w:rFonts w:hint="eastAsia" w:ascii="微软雅黑" w:hAnsi="微软雅黑" w:eastAsia="微软雅黑" w:cs="微软雅黑"/>
                <w:sz w:val="22"/>
                <w:szCs w:val="22"/>
                <w:vertAlign w:val="baseline"/>
              </w:rPr>
            </w:pPr>
          </w:p>
        </w:tc>
        <w:tc>
          <w:tcPr>
            <w:tcW w:w="1704" w:type="dxa"/>
            <w:vMerge w:val="continue"/>
          </w:tcPr>
          <w:p>
            <w:pPr>
              <w:rPr>
                <w:rFonts w:hint="eastAsia" w:ascii="微软雅黑" w:hAnsi="微软雅黑" w:eastAsia="微软雅黑" w:cs="微软雅黑"/>
                <w:sz w:val="22"/>
                <w:szCs w:val="22"/>
                <w:vertAlign w:val="baseline"/>
              </w:rPr>
            </w:pPr>
          </w:p>
        </w:tc>
        <w:tc>
          <w:tcPr>
            <w:tcW w:w="4876" w:type="dxa"/>
            <w:vAlign w:val="top"/>
          </w:tcPr>
          <w:p>
            <w:pPr>
              <w:spacing w:beforeLines="0" w:afterLines="0"/>
              <w:jc w:val="center"/>
              <w:rPr>
                <w:rFonts w:hint="eastAsia" w:ascii="宋体" w:hAnsi="宋体" w:eastAsia="宋体" w:cs="Times New Roman"/>
                <w:b/>
                <w:color w:val="000000"/>
                <w:kern w:val="2"/>
                <w:sz w:val="22"/>
                <w:szCs w:val="22"/>
                <w:lang w:val="en-US" w:eastAsia="zh-CN" w:bidi="ar-SA"/>
              </w:rPr>
            </w:pPr>
            <w:r>
              <w:rPr>
                <w:rFonts w:hint="eastAsia" w:ascii="宋体" w:hAnsi="宋体"/>
                <w:b/>
                <w:color w:val="000000"/>
                <w:sz w:val="22"/>
              </w:rPr>
              <w:t>人与生产力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vMerge w:val="continue"/>
            <w:vAlign w:val="top"/>
          </w:tcPr>
          <w:p>
            <w:pPr>
              <w:spacing w:beforeLines="0" w:afterLines="0"/>
              <w:jc w:val="center"/>
              <w:rPr>
                <w:rFonts w:hint="eastAsia" w:ascii="微软雅黑" w:hAnsi="微软雅黑" w:eastAsia="微软雅黑" w:cs="微软雅黑"/>
                <w:sz w:val="22"/>
                <w:szCs w:val="22"/>
                <w:vertAlign w:val="baseline"/>
              </w:rPr>
            </w:pPr>
          </w:p>
        </w:tc>
        <w:tc>
          <w:tcPr>
            <w:tcW w:w="1704" w:type="dxa"/>
            <w:vMerge w:val="restart"/>
            <w:vAlign w:val="top"/>
          </w:tcPr>
          <w:p>
            <w:pPr>
              <w:spacing w:beforeLines="0" w:afterLines="0"/>
              <w:jc w:val="center"/>
              <w:rPr>
                <w:rFonts w:hint="eastAsia" w:ascii="微软雅黑" w:hAnsi="微软雅黑" w:eastAsia="微软雅黑" w:cs="微软雅黑"/>
                <w:b/>
                <w:color w:val="000000"/>
                <w:sz w:val="22"/>
                <w:szCs w:val="22"/>
              </w:rPr>
            </w:pPr>
          </w:p>
          <w:p>
            <w:pPr>
              <w:spacing w:beforeLines="0" w:afterLines="0"/>
              <w:ind w:firstLine="220" w:firstLineChars="100"/>
              <w:jc w:val="both"/>
              <w:rPr>
                <w:rFonts w:hint="eastAsia" w:ascii="微软雅黑" w:hAnsi="微软雅黑" w:eastAsia="微软雅黑" w:cs="微软雅黑"/>
                <w:b/>
                <w:color w:val="000000"/>
                <w:kern w:val="2"/>
                <w:sz w:val="22"/>
                <w:szCs w:val="22"/>
                <w:lang w:val="en-US" w:eastAsia="zh-CN" w:bidi="ar-SA"/>
              </w:rPr>
            </w:pPr>
            <w:r>
              <w:rPr>
                <w:rFonts w:hint="eastAsia" w:ascii="微软雅黑" w:hAnsi="微软雅黑" w:eastAsia="微软雅黑" w:cs="微软雅黑"/>
                <w:b/>
                <w:color w:val="000000"/>
                <w:sz w:val="22"/>
                <w:szCs w:val="22"/>
              </w:rPr>
              <w:t>扩大企业</w:t>
            </w:r>
          </w:p>
        </w:tc>
        <w:tc>
          <w:tcPr>
            <w:tcW w:w="4876" w:type="dxa"/>
            <w:vAlign w:val="top"/>
          </w:tcPr>
          <w:p>
            <w:pPr>
              <w:spacing w:beforeLines="0" w:afterLines="0"/>
              <w:jc w:val="center"/>
              <w:rPr>
                <w:rFonts w:hint="eastAsia" w:ascii="宋体" w:hAnsi="宋体" w:eastAsia="宋体" w:cs="Times New Roman"/>
                <w:b/>
                <w:color w:val="000000"/>
                <w:kern w:val="2"/>
                <w:sz w:val="22"/>
                <w:szCs w:val="22"/>
                <w:lang w:val="en-US" w:eastAsia="zh-CN" w:bidi="ar-SA"/>
              </w:rPr>
            </w:pPr>
            <w:r>
              <w:rPr>
                <w:rFonts w:hint="eastAsia" w:ascii="宋体" w:hAnsi="宋体"/>
                <w:b/>
                <w:color w:val="000000"/>
                <w:sz w:val="22"/>
              </w:rPr>
              <w:t>企业愿景及目标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vMerge w:val="continue"/>
            <w:vAlign w:val="top"/>
          </w:tcPr>
          <w:p>
            <w:pPr>
              <w:spacing w:beforeLines="0" w:afterLines="0"/>
              <w:jc w:val="center"/>
              <w:rPr>
                <w:rFonts w:hint="eastAsia" w:ascii="微软雅黑" w:hAnsi="微软雅黑" w:eastAsia="微软雅黑" w:cs="微软雅黑"/>
                <w:sz w:val="22"/>
                <w:szCs w:val="22"/>
                <w:vertAlign w:val="baseline"/>
              </w:rPr>
            </w:pPr>
          </w:p>
        </w:tc>
        <w:tc>
          <w:tcPr>
            <w:tcW w:w="1704" w:type="dxa"/>
            <w:vMerge w:val="continue"/>
            <w:vAlign w:val="top"/>
          </w:tcPr>
          <w:p>
            <w:pPr>
              <w:spacing w:beforeLines="0" w:afterLines="0"/>
              <w:jc w:val="center"/>
              <w:rPr>
                <w:rFonts w:hint="eastAsia" w:ascii="微软雅黑" w:hAnsi="微软雅黑" w:eastAsia="微软雅黑" w:cs="微软雅黑"/>
                <w:b/>
                <w:color w:val="000000"/>
                <w:kern w:val="2"/>
                <w:sz w:val="22"/>
                <w:szCs w:val="22"/>
                <w:lang w:val="en-US" w:eastAsia="zh-CN" w:bidi="ar-SA"/>
              </w:rPr>
            </w:pPr>
          </w:p>
        </w:tc>
        <w:tc>
          <w:tcPr>
            <w:tcW w:w="4876" w:type="dxa"/>
            <w:vAlign w:val="top"/>
          </w:tcPr>
          <w:p>
            <w:pPr>
              <w:spacing w:beforeLines="0" w:afterLines="0"/>
              <w:jc w:val="center"/>
              <w:rPr>
                <w:rFonts w:hint="eastAsia" w:ascii="宋体" w:hAnsi="宋体" w:eastAsia="宋体" w:cs="Times New Roman"/>
                <w:b/>
                <w:color w:val="000000"/>
                <w:kern w:val="2"/>
                <w:sz w:val="22"/>
                <w:szCs w:val="22"/>
                <w:lang w:val="en-US" w:eastAsia="zh-CN" w:bidi="ar-SA"/>
              </w:rPr>
            </w:pPr>
            <w:r>
              <w:rPr>
                <w:rFonts w:hint="eastAsia" w:ascii="宋体" w:hAnsi="宋体"/>
                <w:b/>
                <w:color w:val="000000"/>
                <w:sz w:val="22"/>
              </w:rPr>
              <w:t>绩效评价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vMerge w:val="continue"/>
            <w:vAlign w:val="top"/>
          </w:tcPr>
          <w:p>
            <w:pPr>
              <w:spacing w:beforeLines="0" w:afterLines="0"/>
              <w:jc w:val="center"/>
              <w:rPr>
                <w:rFonts w:hint="eastAsia" w:ascii="微软雅黑" w:hAnsi="微软雅黑" w:eastAsia="微软雅黑" w:cs="微软雅黑"/>
                <w:sz w:val="22"/>
                <w:szCs w:val="22"/>
                <w:vertAlign w:val="baseline"/>
              </w:rPr>
            </w:pPr>
          </w:p>
        </w:tc>
        <w:tc>
          <w:tcPr>
            <w:tcW w:w="1704" w:type="dxa"/>
            <w:vMerge w:val="continue"/>
            <w:vAlign w:val="top"/>
          </w:tcPr>
          <w:p>
            <w:pPr>
              <w:spacing w:beforeLines="0" w:afterLines="0"/>
              <w:jc w:val="center"/>
              <w:rPr>
                <w:rFonts w:hint="eastAsia" w:ascii="微软雅黑" w:hAnsi="微软雅黑" w:eastAsia="微软雅黑" w:cs="微软雅黑"/>
                <w:b/>
                <w:color w:val="000000"/>
                <w:kern w:val="2"/>
                <w:sz w:val="22"/>
                <w:szCs w:val="22"/>
                <w:lang w:val="en-US" w:eastAsia="zh-CN" w:bidi="ar-SA"/>
              </w:rPr>
            </w:pPr>
          </w:p>
        </w:tc>
        <w:tc>
          <w:tcPr>
            <w:tcW w:w="4876" w:type="dxa"/>
            <w:vAlign w:val="top"/>
          </w:tcPr>
          <w:p>
            <w:pPr>
              <w:spacing w:beforeLines="0" w:afterLines="0"/>
              <w:jc w:val="center"/>
              <w:rPr>
                <w:rFonts w:hint="eastAsia" w:ascii="宋体" w:hAnsi="宋体" w:eastAsia="宋体" w:cs="Times New Roman"/>
                <w:b/>
                <w:color w:val="000000"/>
                <w:kern w:val="2"/>
                <w:sz w:val="22"/>
                <w:szCs w:val="22"/>
                <w:lang w:val="en-US" w:eastAsia="zh-CN" w:bidi="ar-SA"/>
              </w:rPr>
            </w:pPr>
            <w:r>
              <w:rPr>
                <w:rFonts w:hint="eastAsia" w:ascii="宋体" w:hAnsi="宋体"/>
                <w:b/>
                <w:color w:val="000000"/>
                <w:sz w:val="22"/>
              </w:rPr>
              <w:t>行业竞争力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vMerge w:val="continue"/>
            <w:vAlign w:val="top"/>
          </w:tcPr>
          <w:p>
            <w:pPr>
              <w:spacing w:beforeLines="0" w:afterLines="0"/>
              <w:jc w:val="center"/>
              <w:rPr>
                <w:rFonts w:hint="eastAsia" w:ascii="微软雅黑" w:hAnsi="微软雅黑" w:eastAsia="微软雅黑" w:cs="微软雅黑"/>
                <w:sz w:val="22"/>
                <w:szCs w:val="22"/>
                <w:vertAlign w:val="baseline"/>
              </w:rPr>
            </w:pPr>
          </w:p>
        </w:tc>
        <w:tc>
          <w:tcPr>
            <w:tcW w:w="1704" w:type="dxa"/>
            <w:vMerge w:val="continue"/>
            <w:vAlign w:val="top"/>
          </w:tcPr>
          <w:p>
            <w:pPr>
              <w:spacing w:beforeLines="0" w:afterLines="0"/>
              <w:jc w:val="center"/>
              <w:rPr>
                <w:rFonts w:hint="eastAsia" w:ascii="微软雅黑" w:hAnsi="微软雅黑" w:eastAsia="微软雅黑" w:cs="微软雅黑"/>
                <w:b/>
                <w:color w:val="000000"/>
                <w:kern w:val="2"/>
                <w:sz w:val="22"/>
                <w:szCs w:val="22"/>
                <w:lang w:val="en-US" w:eastAsia="zh-CN" w:bidi="ar-SA"/>
              </w:rPr>
            </w:pPr>
          </w:p>
        </w:tc>
        <w:tc>
          <w:tcPr>
            <w:tcW w:w="4876" w:type="dxa"/>
            <w:vAlign w:val="top"/>
          </w:tcPr>
          <w:p>
            <w:pPr>
              <w:spacing w:beforeLines="0" w:afterLines="0"/>
              <w:jc w:val="center"/>
              <w:rPr>
                <w:rFonts w:hint="eastAsia" w:ascii="宋体" w:hAnsi="宋体" w:eastAsia="宋体" w:cs="Times New Roman"/>
                <w:b/>
                <w:color w:val="000000"/>
                <w:kern w:val="2"/>
                <w:sz w:val="22"/>
                <w:szCs w:val="22"/>
                <w:lang w:val="en-US" w:eastAsia="zh-CN" w:bidi="ar-SA"/>
              </w:rPr>
            </w:pPr>
            <w:r>
              <w:rPr>
                <w:rFonts w:hint="eastAsia" w:ascii="宋体" w:hAnsi="宋体"/>
                <w:b/>
                <w:color w:val="000000"/>
                <w:sz w:val="22"/>
              </w:rPr>
              <w:t>市场营销管理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vMerge w:val="continue"/>
            <w:vAlign w:val="top"/>
          </w:tcPr>
          <w:p>
            <w:pPr>
              <w:spacing w:beforeLines="0" w:afterLines="0"/>
              <w:jc w:val="center"/>
              <w:rPr>
                <w:rFonts w:hint="eastAsia" w:ascii="微软雅黑" w:hAnsi="微软雅黑" w:eastAsia="微软雅黑" w:cs="微软雅黑"/>
                <w:sz w:val="22"/>
                <w:szCs w:val="22"/>
                <w:vertAlign w:val="baseline"/>
              </w:rPr>
            </w:pPr>
          </w:p>
        </w:tc>
        <w:tc>
          <w:tcPr>
            <w:tcW w:w="1704" w:type="dxa"/>
            <w:vMerge w:val="continue"/>
            <w:vAlign w:val="top"/>
          </w:tcPr>
          <w:p>
            <w:pPr>
              <w:spacing w:beforeLines="0" w:afterLines="0"/>
              <w:jc w:val="center"/>
              <w:rPr>
                <w:rFonts w:hint="eastAsia" w:ascii="微软雅黑" w:hAnsi="微软雅黑" w:eastAsia="微软雅黑" w:cs="微软雅黑"/>
                <w:b/>
                <w:color w:val="000000"/>
                <w:kern w:val="2"/>
                <w:sz w:val="22"/>
                <w:szCs w:val="22"/>
                <w:lang w:val="en-US" w:eastAsia="zh-CN" w:bidi="ar-SA"/>
              </w:rPr>
            </w:pPr>
          </w:p>
        </w:tc>
        <w:tc>
          <w:tcPr>
            <w:tcW w:w="4876" w:type="dxa"/>
            <w:vAlign w:val="top"/>
          </w:tcPr>
          <w:p>
            <w:pPr>
              <w:spacing w:beforeLines="0" w:afterLines="0"/>
              <w:jc w:val="center"/>
              <w:rPr>
                <w:rFonts w:hint="eastAsia" w:ascii="宋体" w:hAnsi="宋体" w:eastAsia="宋体" w:cs="Times New Roman"/>
                <w:b/>
                <w:color w:val="000000"/>
                <w:kern w:val="2"/>
                <w:sz w:val="22"/>
                <w:szCs w:val="22"/>
                <w:lang w:val="en-US" w:eastAsia="zh-CN" w:bidi="ar-SA"/>
              </w:rPr>
            </w:pPr>
            <w:r>
              <w:rPr>
                <w:rFonts w:hint="eastAsia" w:ascii="宋体" w:hAnsi="宋体"/>
                <w:b/>
                <w:color w:val="000000"/>
                <w:sz w:val="22"/>
              </w:rPr>
              <w:t>生产部门管理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vMerge w:val="continue"/>
            <w:vAlign w:val="top"/>
          </w:tcPr>
          <w:p>
            <w:pPr>
              <w:spacing w:beforeLines="0" w:afterLines="0"/>
              <w:jc w:val="center"/>
              <w:rPr>
                <w:rFonts w:hint="eastAsia" w:ascii="微软雅黑" w:hAnsi="微软雅黑" w:eastAsia="微软雅黑" w:cs="微软雅黑"/>
                <w:sz w:val="22"/>
                <w:szCs w:val="22"/>
                <w:vertAlign w:val="baseline"/>
              </w:rPr>
            </w:pPr>
          </w:p>
        </w:tc>
        <w:tc>
          <w:tcPr>
            <w:tcW w:w="1704" w:type="dxa"/>
            <w:vMerge w:val="continue"/>
            <w:vAlign w:val="top"/>
          </w:tcPr>
          <w:p>
            <w:pPr>
              <w:spacing w:beforeLines="0" w:afterLines="0"/>
              <w:jc w:val="center"/>
              <w:rPr>
                <w:rFonts w:hint="eastAsia" w:ascii="微软雅黑" w:hAnsi="微软雅黑" w:eastAsia="微软雅黑" w:cs="微软雅黑"/>
                <w:b/>
                <w:color w:val="000000"/>
                <w:kern w:val="2"/>
                <w:sz w:val="22"/>
                <w:szCs w:val="22"/>
                <w:lang w:val="en-US" w:eastAsia="zh-CN" w:bidi="ar-SA"/>
              </w:rPr>
            </w:pPr>
          </w:p>
        </w:tc>
        <w:tc>
          <w:tcPr>
            <w:tcW w:w="4876" w:type="dxa"/>
            <w:vAlign w:val="top"/>
          </w:tcPr>
          <w:p>
            <w:pPr>
              <w:spacing w:beforeLines="0" w:afterLines="0"/>
              <w:jc w:val="center"/>
              <w:rPr>
                <w:rFonts w:hint="eastAsia" w:ascii="宋体" w:hAnsi="宋体" w:eastAsia="宋体" w:cs="Times New Roman"/>
                <w:b/>
                <w:color w:val="000000"/>
                <w:kern w:val="2"/>
                <w:sz w:val="22"/>
                <w:szCs w:val="22"/>
                <w:lang w:val="en-US" w:eastAsia="zh-CN" w:bidi="ar-SA"/>
              </w:rPr>
            </w:pPr>
            <w:r>
              <w:rPr>
                <w:rFonts w:hint="eastAsia" w:ascii="宋体" w:hAnsi="宋体"/>
                <w:b/>
                <w:color w:val="000000"/>
                <w:sz w:val="22"/>
              </w:rPr>
              <w:t>人力资源管理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vMerge w:val="continue"/>
            <w:vAlign w:val="top"/>
          </w:tcPr>
          <w:p>
            <w:pPr>
              <w:spacing w:beforeLines="0" w:afterLines="0"/>
              <w:jc w:val="center"/>
              <w:rPr>
                <w:rFonts w:hint="eastAsia" w:ascii="微软雅黑" w:hAnsi="微软雅黑" w:eastAsia="微软雅黑" w:cs="微软雅黑"/>
                <w:sz w:val="22"/>
                <w:szCs w:val="22"/>
                <w:vertAlign w:val="baseline"/>
              </w:rPr>
            </w:pPr>
          </w:p>
        </w:tc>
        <w:tc>
          <w:tcPr>
            <w:tcW w:w="1704" w:type="dxa"/>
            <w:vMerge w:val="continue"/>
            <w:vAlign w:val="top"/>
          </w:tcPr>
          <w:p>
            <w:pPr>
              <w:spacing w:beforeLines="0" w:afterLines="0"/>
              <w:jc w:val="center"/>
              <w:rPr>
                <w:rFonts w:hint="eastAsia" w:ascii="微软雅黑" w:hAnsi="微软雅黑" w:eastAsia="微软雅黑" w:cs="微软雅黑"/>
                <w:b/>
                <w:color w:val="000000"/>
                <w:kern w:val="2"/>
                <w:sz w:val="22"/>
                <w:szCs w:val="22"/>
                <w:lang w:val="en-US" w:eastAsia="zh-CN" w:bidi="ar-SA"/>
              </w:rPr>
            </w:pPr>
          </w:p>
        </w:tc>
        <w:tc>
          <w:tcPr>
            <w:tcW w:w="4876" w:type="dxa"/>
            <w:vAlign w:val="top"/>
          </w:tcPr>
          <w:p>
            <w:pPr>
              <w:spacing w:beforeLines="0" w:afterLines="0"/>
              <w:jc w:val="center"/>
              <w:rPr>
                <w:rFonts w:hint="eastAsia" w:ascii="宋体" w:hAnsi="宋体" w:eastAsia="宋体" w:cs="Times New Roman"/>
                <w:b/>
                <w:color w:val="000000"/>
                <w:kern w:val="2"/>
                <w:sz w:val="22"/>
                <w:szCs w:val="22"/>
                <w:lang w:val="en-US" w:eastAsia="zh-CN" w:bidi="ar-SA"/>
              </w:rPr>
            </w:pPr>
            <w:r>
              <w:rPr>
                <w:rFonts w:hint="eastAsia" w:ascii="宋体" w:hAnsi="宋体"/>
                <w:b/>
                <w:color w:val="000000"/>
                <w:sz w:val="22"/>
              </w:rPr>
              <w:t>企业战略管理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vAlign w:val="top"/>
          </w:tcPr>
          <w:p>
            <w:pPr>
              <w:spacing w:beforeLines="0" w:afterLines="0"/>
              <w:jc w:val="center"/>
              <w:rPr>
                <w:rFonts w:hint="eastAsia" w:ascii="微软雅黑" w:hAnsi="微软雅黑" w:eastAsia="微软雅黑" w:cs="微软雅黑"/>
                <w:sz w:val="22"/>
                <w:szCs w:val="22"/>
                <w:vertAlign w:val="baseline"/>
              </w:rPr>
            </w:pPr>
            <w:r>
              <w:rPr>
                <w:rFonts w:hint="eastAsia" w:ascii="微软雅黑" w:hAnsi="微软雅黑" w:eastAsia="微软雅黑" w:cs="微软雅黑"/>
                <w:b/>
                <w:color w:val="000000"/>
                <w:sz w:val="22"/>
                <w:szCs w:val="22"/>
              </w:rPr>
              <w:t>一级分类</w:t>
            </w:r>
          </w:p>
        </w:tc>
        <w:tc>
          <w:tcPr>
            <w:tcW w:w="1704" w:type="dxa"/>
            <w:vAlign w:val="top"/>
          </w:tcPr>
          <w:p>
            <w:pPr>
              <w:spacing w:beforeLines="0" w:afterLines="0"/>
              <w:jc w:val="center"/>
              <w:rPr>
                <w:rFonts w:hint="eastAsia" w:ascii="微软雅黑" w:hAnsi="微软雅黑" w:eastAsia="微软雅黑" w:cs="微软雅黑"/>
                <w:b/>
                <w:color w:val="000000"/>
                <w:kern w:val="2"/>
                <w:sz w:val="22"/>
                <w:szCs w:val="22"/>
                <w:lang w:val="en-US" w:eastAsia="zh-CN" w:bidi="ar-SA"/>
              </w:rPr>
            </w:pPr>
            <w:r>
              <w:rPr>
                <w:rFonts w:hint="eastAsia" w:ascii="微软雅黑" w:hAnsi="微软雅黑" w:eastAsia="微软雅黑" w:cs="微软雅黑"/>
                <w:b/>
                <w:color w:val="000000"/>
                <w:sz w:val="22"/>
                <w:szCs w:val="22"/>
              </w:rPr>
              <w:t>二级分类</w:t>
            </w:r>
          </w:p>
        </w:tc>
        <w:tc>
          <w:tcPr>
            <w:tcW w:w="4876" w:type="dxa"/>
            <w:vAlign w:val="top"/>
          </w:tcPr>
          <w:p>
            <w:pPr>
              <w:spacing w:beforeLines="0" w:afterLines="0"/>
              <w:jc w:val="center"/>
              <w:rPr>
                <w:rFonts w:hint="eastAsia" w:ascii="宋体" w:hAnsi="宋体" w:eastAsia="宋体" w:cs="Times New Roman"/>
                <w:b/>
                <w:color w:val="000000"/>
                <w:kern w:val="2"/>
                <w:sz w:val="32"/>
                <w:szCs w:val="22"/>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vMerge w:val="restart"/>
            <w:vAlign w:val="top"/>
          </w:tcPr>
          <w:p>
            <w:pPr>
              <w:spacing w:beforeLines="0" w:afterLines="0"/>
              <w:jc w:val="center"/>
              <w:rPr>
                <w:rFonts w:hint="eastAsia" w:ascii="微软雅黑" w:hAnsi="微软雅黑" w:eastAsia="微软雅黑" w:cs="微软雅黑"/>
                <w:b/>
                <w:color w:val="000000"/>
                <w:sz w:val="22"/>
                <w:szCs w:val="22"/>
              </w:rPr>
            </w:pPr>
          </w:p>
          <w:p>
            <w:pPr>
              <w:spacing w:beforeLines="0" w:afterLines="0"/>
              <w:ind w:firstLine="440" w:firstLineChars="200"/>
              <w:jc w:val="both"/>
              <w:rPr>
                <w:rFonts w:hint="eastAsia" w:ascii="微软雅黑" w:hAnsi="微软雅黑" w:eastAsia="微软雅黑" w:cs="微软雅黑"/>
                <w:sz w:val="22"/>
                <w:szCs w:val="22"/>
                <w:vertAlign w:val="baseline"/>
              </w:rPr>
            </w:pPr>
            <w:r>
              <w:rPr>
                <w:rFonts w:hint="eastAsia" w:ascii="微软雅黑" w:hAnsi="微软雅黑" w:eastAsia="微软雅黑" w:cs="微软雅黑"/>
                <w:b/>
                <w:color w:val="000000"/>
                <w:sz w:val="22"/>
                <w:szCs w:val="22"/>
              </w:rPr>
              <w:t>就业</w:t>
            </w:r>
          </w:p>
        </w:tc>
        <w:tc>
          <w:tcPr>
            <w:tcW w:w="1704" w:type="dxa"/>
            <w:vAlign w:val="top"/>
          </w:tcPr>
          <w:p>
            <w:pPr>
              <w:spacing w:beforeLines="0" w:afterLines="0"/>
              <w:jc w:val="center"/>
              <w:rPr>
                <w:rFonts w:hint="eastAsia" w:ascii="微软雅黑" w:hAnsi="微软雅黑" w:eastAsia="微软雅黑" w:cs="微软雅黑"/>
                <w:b/>
                <w:color w:val="000000"/>
                <w:kern w:val="2"/>
                <w:sz w:val="22"/>
                <w:szCs w:val="22"/>
                <w:lang w:val="en-US" w:eastAsia="zh-CN" w:bidi="ar-SA"/>
              </w:rPr>
            </w:pPr>
            <w:r>
              <w:rPr>
                <w:rFonts w:hint="eastAsia" w:ascii="微软雅黑" w:hAnsi="微软雅黑" w:eastAsia="微软雅黑" w:cs="微软雅黑"/>
                <w:b/>
                <w:color w:val="000000"/>
                <w:sz w:val="22"/>
                <w:szCs w:val="22"/>
              </w:rPr>
              <w:t>职业规划</w:t>
            </w:r>
          </w:p>
        </w:tc>
        <w:tc>
          <w:tcPr>
            <w:tcW w:w="4876" w:type="dxa"/>
            <w:vAlign w:val="top"/>
          </w:tcPr>
          <w:p>
            <w:pPr>
              <w:spacing w:beforeLines="0" w:afterLines="0"/>
              <w:jc w:val="center"/>
              <w:rPr>
                <w:rFonts w:hint="default" w:ascii="宋体" w:hAnsi="宋体" w:eastAsia="宋体" w:cs="Times New Roman"/>
                <w:b/>
                <w:color w:val="000000"/>
                <w:kern w:val="2"/>
                <w:sz w:val="22"/>
                <w:szCs w:val="22"/>
                <w:lang w:val="en-US" w:eastAsia="zh-CN" w:bidi="ar-SA"/>
              </w:rPr>
            </w:pPr>
            <w:r>
              <w:rPr>
                <w:rFonts w:hint="eastAsia" w:ascii="宋体" w:hAnsi="宋体" w:cs="Times New Roman"/>
                <w:b/>
                <w:color w:val="000000"/>
                <w:kern w:val="2"/>
                <w:sz w:val="22"/>
                <w:szCs w:val="22"/>
                <w:lang w:val="en-US" w:eastAsia="zh-CN" w:bidi="ar-SA"/>
              </w:rPr>
              <w:t>职业生涯的规划课程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vMerge w:val="continue"/>
            <w:vAlign w:val="top"/>
          </w:tcPr>
          <w:p>
            <w:pPr>
              <w:spacing w:beforeLines="0" w:afterLines="0"/>
              <w:jc w:val="center"/>
              <w:rPr>
                <w:rFonts w:hint="eastAsia" w:ascii="微软雅黑" w:hAnsi="微软雅黑" w:eastAsia="微软雅黑" w:cs="微软雅黑"/>
                <w:sz w:val="22"/>
                <w:szCs w:val="22"/>
                <w:vertAlign w:val="baseline"/>
              </w:rPr>
            </w:pPr>
          </w:p>
        </w:tc>
        <w:tc>
          <w:tcPr>
            <w:tcW w:w="1704" w:type="dxa"/>
            <w:vAlign w:val="top"/>
          </w:tcPr>
          <w:p>
            <w:pPr>
              <w:spacing w:beforeLines="0" w:afterLines="0"/>
              <w:jc w:val="center"/>
              <w:rPr>
                <w:rFonts w:hint="eastAsia" w:ascii="微软雅黑" w:hAnsi="微软雅黑" w:eastAsia="微软雅黑" w:cs="微软雅黑"/>
                <w:b/>
                <w:color w:val="000000"/>
                <w:kern w:val="2"/>
                <w:sz w:val="22"/>
                <w:szCs w:val="22"/>
                <w:lang w:val="en-US" w:eastAsia="zh-CN" w:bidi="ar-SA"/>
              </w:rPr>
            </w:pPr>
            <w:r>
              <w:rPr>
                <w:rFonts w:hint="eastAsia" w:ascii="微软雅黑" w:hAnsi="微软雅黑" w:eastAsia="微软雅黑" w:cs="微软雅黑"/>
                <w:b/>
                <w:color w:val="000000"/>
                <w:sz w:val="22"/>
                <w:szCs w:val="22"/>
              </w:rPr>
              <w:t>求职问道</w:t>
            </w:r>
          </w:p>
        </w:tc>
        <w:tc>
          <w:tcPr>
            <w:tcW w:w="4876" w:type="dxa"/>
            <w:vAlign w:val="top"/>
          </w:tcPr>
          <w:p>
            <w:pPr>
              <w:spacing w:beforeLines="0" w:afterLines="0"/>
              <w:jc w:val="both"/>
              <w:rPr>
                <w:rFonts w:hint="default" w:ascii="宋体" w:hAnsi="宋体" w:eastAsia="宋体" w:cs="Times New Roman"/>
                <w:b/>
                <w:color w:val="000000"/>
                <w:kern w:val="2"/>
                <w:sz w:val="22"/>
                <w:szCs w:val="22"/>
                <w:lang w:val="en-US" w:eastAsia="zh-CN" w:bidi="ar-SA"/>
              </w:rPr>
            </w:pPr>
            <w:r>
              <w:rPr>
                <w:rFonts w:hint="eastAsia" w:ascii="宋体" w:hAnsi="宋体" w:cs="Times New Roman"/>
                <w:b/>
                <w:color w:val="000000"/>
                <w:kern w:val="2"/>
                <w:sz w:val="22"/>
                <w:szCs w:val="22"/>
                <w:lang w:val="en-US" w:eastAsia="zh-CN" w:bidi="ar-SA"/>
              </w:rPr>
              <w:t>简历、面试技巧、着装礼仪、求职技能、实用应聘、就业流程等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vMerge w:val="continue"/>
            <w:vAlign w:val="top"/>
          </w:tcPr>
          <w:p>
            <w:pPr>
              <w:spacing w:beforeLines="0" w:afterLines="0"/>
              <w:jc w:val="center"/>
              <w:rPr>
                <w:rFonts w:hint="eastAsia" w:ascii="微软雅黑" w:hAnsi="微软雅黑" w:eastAsia="微软雅黑" w:cs="微软雅黑"/>
                <w:sz w:val="22"/>
                <w:szCs w:val="22"/>
                <w:vertAlign w:val="baseline"/>
              </w:rPr>
            </w:pPr>
          </w:p>
        </w:tc>
        <w:tc>
          <w:tcPr>
            <w:tcW w:w="1704" w:type="dxa"/>
            <w:vAlign w:val="top"/>
          </w:tcPr>
          <w:p>
            <w:pPr>
              <w:spacing w:beforeLines="0" w:afterLines="0"/>
              <w:jc w:val="center"/>
              <w:rPr>
                <w:rFonts w:hint="eastAsia" w:ascii="微软雅黑" w:hAnsi="微软雅黑" w:eastAsia="微软雅黑" w:cs="微软雅黑"/>
                <w:b/>
                <w:color w:val="000000"/>
                <w:kern w:val="2"/>
                <w:sz w:val="22"/>
                <w:szCs w:val="22"/>
                <w:lang w:val="en-US" w:eastAsia="zh-CN" w:bidi="ar-SA"/>
              </w:rPr>
            </w:pPr>
            <w:r>
              <w:rPr>
                <w:rFonts w:hint="eastAsia" w:ascii="微软雅黑" w:hAnsi="微软雅黑" w:eastAsia="微软雅黑" w:cs="微软雅黑"/>
                <w:b/>
                <w:color w:val="000000"/>
                <w:sz w:val="22"/>
                <w:szCs w:val="22"/>
              </w:rPr>
              <w:t>职场风云</w:t>
            </w:r>
          </w:p>
        </w:tc>
        <w:tc>
          <w:tcPr>
            <w:tcW w:w="4876" w:type="dxa"/>
            <w:vAlign w:val="top"/>
          </w:tcPr>
          <w:p>
            <w:pPr>
              <w:spacing w:beforeLines="0" w:afterLines="0"/>
              <w:jc w:val="center"/>
              <w:rPr>
                <w:rFonts w:hint="default" w:ascii="宋体" w:hAnsi="宋体" w:eastAsia="宋体" w:cs="Times New Roman"/>
                <w:b/>
                <w:color w:val="000000"/>
                <w:kern w:val="2"/>
                <w:sz w:val="22"/>
                <w:szCs w:val="22"/>
                <w:lang w:val="en-US" w:eastAsia="zh-CN" w:bidi="ar-SA"/>
              </w:rPr>
            </w:pPr>
            <w:r>
              <w:rPr>
                <w:rFonts w:hint="eastAsia" w:ascii="宋体" w:hAnsi="宋体" w:cs="Times New Roman"/>
                <w:b/>
                <w:color w:val="000000"/>
                <w:kern w:val="2"/>
                <w:sz w:val="22"/>
                <w:szCs w:val="22"/>
                <w:lang w:val="en-US" w:eastAsia="zh-CN" w:bidi="ar-SA"/>
              </w:rPr>
              <w:t>职场中的故事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vMerge w:val="continue"/>
            <w:vAlign w:val="top"/>
          </w:tcPr>
          <w:p>
            <w:pPr>
              <w:spacing w:beforeLines="0" w:afterLines="0"/>
              <w:jc w:val="center"/>
              <w:rPr>
                <w:rFonts w:hint="eastAsia" w:ascii="微软雅黑" w:hAnsi="微软雅黑" w:eastAsia="微软雅黑" w:cs="微软雅黑"/>
                <w:sz w:val="22"/>
                <w:szCs w:val="22"/>
                <w:vertAlign w:val="baseline"/>
              </w:rPr>
            </w:pPr>
          </w:p>
        </w:tc>
        <w:tc>
          <w:tcPr>
            <w:tcW w:w="1704" w:type="dxa"/>
            <w:vAlign w:val="top"/>
          </w:tcPr>
          <w:p>
            <w:pPr>
              <w:spacing w:beforeLines="0" w:afterLines="0"/>
              <w:jc w:val="center"/>
              <w:rPr>
                <w:rFonts w:hint="eastAsia" w:ascii="微软雅黑" w:hAnsi="微软雅黑" w:eastAsia="微软雅黑" w:cs="微软雅黑"/>
                <w:b/>
                <w:color w:val="000000"/>
                <w:kern w:val="2"/>
                <w:sz w:val="22"/>
                <w:szCs w:val="22"/>
                <w:lang w:val="en-US" w:eastAsia="zh-CN" w:bidi="ar-SA"/>
              </w:rPr>
            </w:pPr>
            <w:r>
              <w:rPr>
                <w:rFonts w:hint="eastAsia" w:ascii="微软雅黑" w:hAnsi="微软雅黑" w:eastAsia="微软雅黑" w:cs="微软雅黑"/>
                <w:b/>
                <w:color w:val="000000"/>
                <w:sz w:val="22"/>
                <w:szCs w:val="22"/>
              </w:rPr>
              <w:t>岗位解析</w:t>
            </w:r>
          </w:p>
        </w:tc>
        <w:tc>
          <w:tcPr>
            <w:tcW w:w="4876" w:type="dxa"/>
            <w:vAlign w:val="top"/>
          </w:tcPr>
          <w:p>
            <w:pPr>
              <w:spacing w:beforeLines="0" w:afterLines="0"/>
              <w:jc w:val="center"/>
              <w:rPr>
                <w:rFonts w:hint="default" w:ascii="宋体" w:hAnsi="宋体" w:eastAsia="宋体" w:cs="Times New Roman"/>
                <w:b/>
                <w:color w:val="000000"/>
                <w:kern w:val="2"/>
                <w:sz w:val="22"/>
                <w:szCs w:val="22"/>
                <w:lang w:val="en-US" w:eastAsia="zh-CN" w:bidi="ar-SA"/>
              </w:rPr>
            </w:pPr>
            <w:r>
              <w:rPr>
                <w:rFonts w:hint="eastAsia" w:ascii="宋体" w:hAnsi="宋体" w:cs="Times New Roman"/>
                <w:b/>
                <w:color w:val="000000"/>
                <w:kern w:val="2"/>
                <w:sz w:val="22"/>
                <w:szCs w:val="22"/>
                <w:lang w:val="en-US" w:eastAsia="zh-CN" w:bidi="ar-SA"/>
              </w:rPr>
              <w:t>不同岗位的职能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vAlign w:val="top"/>
          </w:tcPr>
          <w:p>
            <w:pPr>
              <w:spacing w:beforeLines="0" w:afterLines="0"/>
              <w:jc w:val="center"/>
              <w:rPr>
                <w:rFonts w:hint="eastAsia" w:ascii="微软雅黑" w:hAnsi="微软雅黑" w:eastAsia="微软雅黑" w:cs="微软雅黑"/>
                <w:sz w:val="22"/>
                <w:szCs w:val="22"/>
                <w:vertAlign w:val="baseline"/>
              </w:rPr>
            </w:pPr>
            <w:r>
              <w:rPr>
                <w:rFonts w:hint="eastAsia" w:ascii="微软雅黑" w:hAnsi="微软雅黑" w:eastAsia="微软雅黑" w:cs="微软雅黑"/>
                <w:b/>
                <w:color w:val="000000"/>
                <w:sz w:val="22"/>
                <w:szCs w:val="22"/>
              </w:rPr>
              <w:t>网络创业</w:t>
            </w:r>
          </w:p>
        </w:tc>
        <w:tc>
          <w:tcPr>
            <w:tcW w:w="1704" w:type="dxa"/>
            <w:vAlign w:val="top"/>
          </w:tcPr>
          <w:p>
            <w:pPr>
              <w:spacing w:beforeLines="0" w:afterLines="0"/>
              <w:jc w:val="center"/>
              <w:rPr>
                <w:rFonts w:hint="eastAsia" w:ascii="微软雅黑" w:hAnsi="微软雅黑" w:eastAsia="微软雅黑" w:cs="微软雅黑"/>
                <w:b/>
                <w:color w:val="000000"/>
                <w:kern w:val="2"/>
                <w:sz w:val="22"/>
                <w:szCs w:val="22"/>
                <w:lang w:val="en-US" w:eastAsia="zh-CN" w:bidi="ar-SA"/>
              </w:rPr>
            </w:pPr>
            <w:r>
              <w:rPr>
                <w:rFonts w:hint="eastAsia" w:ascii="微软雅黑" w:hAnsi="微软雅黑" w:eastAsia="微软雅黑" w:cs="微软雅黑"/>
                <w:b/>
                <w:color w:val="000000"/>
                <w:sz w:val="22"/>
                <w:szCs w:val="22"/>
              </w:rPr>
              <w:t>电子商务</w:t>
            </w:r>
          </w:p>
        </w:tc>
        <w:tc>
          <w:tcPr>
            <w:tcW w:w="4876" w:type="dxa"/>
            <w:vAlign w:val="top"/>
          </w:tcPr>
          <w:p>
            <w:pPr>
              <w:spacing w:beforeLines="0" w:afterLines="0"/>
              <w:jc w:val="center"/>
              <w:rPr>
                <w:rFonts w:hint="default" w:ascii="宋体" w:hAnsi="宋体" w:eastAsia="宋体" w:cs="Times New Roman"/>
                <w:b/>
                <w:color w:val="000000"/>
                <w:kern w:val="2"/>
                <w:sz w:val="22"/>
                <w:szCs w:val="22"/>
                <w:lang w:val="en-US" w:eastAsia="zh-CN" w:bidi="ar-SA"/>
              </w:rPr>
            </w:pPr>
            <w:r>
              <w:rPr>
                <w:rFonts w:hint="eastAsia" w:ascii="宋体" w:hAnsi="宋体" w:cs="Times New Roman"/>
                <w:b/>
                <w:color w:val="000000"/>
                <w:kern w:val="2"/>
                <w:sz w:val="22"/>
                <w:szCs w:val="22"/>
                <w:lang w:val="en-US" w:eastAsia="zh-CN" w:bidi="ar-SA"/>
              </w:rPr>
              <w:t>互联网时代下电商的应用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vAlign w:val="top"/>
          </w:tcPr>
          <w:p>
            <w:pPr>
              <w:spacing w:beforeLines="0" w:afterLines="0"/>
              <w:jc w:val="center"/>
              <w:rPr>
                <w:rFonts w:hint="eastAsia" w:ascii="微软雅黑" w:hAnsi="微软雅黑" w:eastAsia="微软雅黑" w:cs="微软雅黑"/>
                <w:sz w:val="22"/>
                <w:szCs w:val="22"/>
                <w:vertAlign w:val="baseline"/>
              </w:rPr>
            </w:pPr>
          </w:p>
        </w:tc>
        <w:tc>
          <w:tcPr>
            <w:tcW w:w="1704" w:type="dxa"/>
            <w:vAlign w:val="top"/>
          </w:tcPr>
          <w:p>
            <w:pPr>
              <w:spacing w:beforeLines="0" w:afterLines="0"/>
              <w:jc w:val="center"/>
              <w:rPr>
                <w:rFonts w:hint="eastAsia" w:ascii="微软雅黑" w:hAnsi="微软雅黑" w:eastAsia="微软雅黑" w:cs="微软雅黑"/>
                <w:b/>
                <w:color w:val="000000"/>
                <w:kern w:val="2"/>
                <w:sz w:val="22"/>
                <w:szCs w:val="22"/>
                <w:lang w:val="en-US" w:eastAsia="zh-CN" w:bidi="ar-SA"/>
              </w:rPr>
            </w:pPr>
            <w:r>
              <w:rPr>
                <w:rFonts w:hint="eastAsia" w:ascii="微软雅黑" w:hAnsi="微软雅黑" w:eastAsia="微软雅黑" w:cs="微软雅黑"/>
                <w:b/>
                <w:color w:val="000000"/>
                <w:sz w:val="22"/>
                <w:szCs w:val="22"/>
              </w:rPr>
              <w:t>网络营销</w:t>
            </w:r>
          </w:p>
        </w:tc>
        <w:tc>
          <w:tcPr>
            <w:tcW w:w="4876" w:type="dxa"/>
            <w:vAlign w:val="top"/>
          </w:tcPr>
          <w:p>
            <w:pPr>
              <w:spacing w:beforeLines="0" w:afterLines="0"/>
              <w:jc w:val="center"/>
              <w:rPr>
                <w:rFonts w:hint="default" w:ascii="宋体" w:hAnsi="宋体" w:eastAsia="宋体" w:cs="Times New Roman"/>
                <w:b/>
                <w:color w:val="000000"/>
                <w:kern w:val="2"/>
                <w:sz w:val="22"/>
                <w:szCs w:val="22"/>
                <w:lang w:val="en-US" w:eastAsia="zh-CN" w:bidi="ar-SA"/>
              </w:rPr>
            </w:pPr>
            <w:r>
              <w:rPr>
                <w:rFonts w:hint="eastAsia" w:ascii="宋体" w:hAnsi="宋体" w:cs="Times New Roman"/>
                <w:b/>
                <w:color w:val="000000"/>
                <w:kern w:val="2"/>
                <w:sz w:val="22"/>
                <w:szCs w:val="22"/>
                <w:lang w:val="en-US" w:eastAsia="zh-CN" w:bidi="ar-SA"/>
              </w:rPr>
              <w:t>自媒体时代网络营销秘诀</w:t>
            </w:r>
          </w:p>
        </w:tc>
      </w:tr>
    </w:tbl>
    <w:p/>
    <w:p>
      <w:pPr>
        <w:pStyle w:val="3"/>
        <w:numPr>
          <w:ilvl w:val="0"/>
          <w:numId w:val="2"/>
        </w:numPr>
        <w:spacing w:line="360" w:lineRule="auto"/>
        <w:rPr>
          <w:rFonts w:ascii="微软雅黑" w:hAnsi="微软雅黑" w:eastAsia="微软雅黑" w:cs="微软雅黑"/>
          <w:b w:val="0"/>
          <w:bCs w:val="0"/>
        </w:rPr>
      </w:pPr>
      <w:r>
        <w:rPr>
          <w:rFonts w:hint="eastAsia" w:ascii="微软雅黑" w:hAnsi="微软雅黑" w:eastAsia="微软雅黑" w:cs="微软雅黑"/>
          <w:b w:val="0"/>
          <w:bCs w:val="0"/>
        </w:rPr>
        <w:t>主要功能</w:t>
      </w:r>
      <w:bookmarkEnd w:id="18"/>
      <w:bookmarkEnd w:id="19"/>
      <w:bookmarkEnd w:id="20"/>
    </w:p>
    <w:p>
      <w:pPr>
        <w:pStyle w:val="13"/>
        <w:spacing w:line="360" w:lineRule="auto"/>
        <w:ind w:firstLine="480"/>
        <w:rPr>
          <w:rFonts w:ascii="微软雅黑" w:hAnsi="微软雅黑" w:eastAsia="微软雅黑" w:cs="微软雅黑"/>
        </w:rPr>
      </w:pPr>
      <w:r>
        <w:rPr>
          <w:rFonts w:hint="eastAsia" w:ascii="微软雅黑" w:hAnsi="微软雅黑" w:eastAsia="微软雅黑" w:cs="微软雅黑"/>
          <w:sz w:val="24"/>
          <w:szCs w:val="24"/>
        </w:rPr>
        <w:t>职业测评：科学测评帮助广大学子全方位揭示深层职业潜质，探索职业倾向特征，评估职业生涯水平，提高自我认知，奠定坚实职业规划基础，使用户更加全面的实现自我认知。</w:t>
      </w:r>
    </w:p>
    <w:p>
      <w:pPr>
        <w:pStyle w:val="13"/>
        <w:spacing w:line="360" w:lineRule="auto"/>
        <w:ind w:firstLine="0" w:firstLineChars="0"/>
        <w:rPr>
          <w:rFonts w:ascii="微软雅黑" w:hAnsi="微软雅黑" w:eastAsia="微软雅黑" w:cs="微软雅黑"/>
          <w:sz w:val="24"/>
        </w:rPr>
      </w:pPr>
      <w:r>
        <w:rPr>
          <w:rFonts w:hint="eastAsia" w:ascii="微软雅黑" w:hAnsi="微软雅黑" w:eastAsia="微软雅黑" w:cs="微软雅黑"/>
        </w:rPr>
        <w:drawing>
          <wp:inline distT="0" distB="0" distL="0" distR="0">
            <wp:extent cx="5257800" cy="2717800"/>
            <wp:effectExtent l="0" t="0" r="0" b="635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4">
                      <a:extLst>
                        <a:ext uri="{28A0092B-C50C-407E-A947-70E740481C1C}">
                          <a14:useLocalDpi xmlns:a14="http://schemas.microsoft.com/office/drawing/2010/main" val="0"/>
                        </a:ext>
                      </a:extLst>
                    </a:blip>
                    <a:srcRect b="26105"/>
                    <a:stretch>
                      <a:fillRect/>
                    </a:stretch>
                  </pic:blipFill>
                  <pic:spPr>
                    <a:xfrm>
                      <a:off x="0" y="0"/>
                      <a:ext cx="5257800" cy="2717800"/>
                    </a:xfrm>
                    <a:prstGeom prst="rect">
                      <a:avLst/>
                    </a:prstGeom>
                    <a:noFill/>
                    <a:ln>
                      <a:noFill/>
                    </a:ln>
                    <a:effectLst/>
                  </pic:spPr>
                </pic:pic>
              </a:graphicData>
            </a:graphic>
          </wp:inline>
        </w:drawing>
      </w:r>
    </w:p>
    <w:p>
      <w:pPr>
        <w:numPr>
          <w:ilvl w:val="0"/>
          <w:numId w:val="3"/>
        </w:numPr>
        <w:spacing w:line="360" w:lineRule="auto"/>
        <w:rPr>
          <w:rFonts w:ascii="微软雅黑" w:hAnsi="微软雅黑" w:eastAsia="微软雅黑" w:cs="微软雅黑"/>
        </w:rPr>
      </w:pPr>
      <w:r>
        <w:rPr>
          <w:rFonts w:hint="eastAsia" w:ascii="微软雅黑" w:hAnsi="微软雅黑" w:eastAsia="微软雅黑" w:cs="微软雅黑"/>
        </w:rPr>
        <w:t>MBTI职业性格特征测试：帮助用户对于自我的职业人格做具体评估。</w:t>
      </w:r>
    </w:p>
    <w:p>
      <w:pPr>
        <w:numPr>
          <w:ilvl w:val="0"/>
          <w:numId w:val="3"/>
        </w:numPr>
        <w:spacing w:line="360" w:lineRule="auto"/>
        <w:rPr>
          <w:rFonts w:ascii="微软雅黑" w:hAnsi="微软雅黑" w:eastAsia="微软雅黑" w:cs="微软雅黑"/>
        </w:rPr>
      </w:pPr>
      <w:r>
        <w:rPr>
          <w:rFonts w:hint="eastAsia" w:ascii="微软雅黑" w:hAnsi="微软雅黑" w:eastAsia="微软雅黑" w:cs="微软雅黑"/>
        </w:rPr>
        <w:t>职业价值观测试：辅助用户了解自己的职业价值观倾向、了解自己的价值观，使自己在处理问题上更加趋于成熟，理智和客观。</w:t>
      </w:r>
    </w:p>
    <w:p>
      <w:pPr>
        <w:numPr>
          <w:ilvl w:val="0"/>
          <w:numId w:val="3"/>
        </w:numPr>
        <w:spacing w:line="360" w:lineRule="auto"/>
        <w:rPr>
          <w:rFonts w:ascii="微软雅黑" w:hAnsi="微软雅黑" w:eastAsia="微软雅黑" w:cs="微软雅黑"/>
        </w:rPr>
      </w:pPr>
      <w:r>
        <w:rPr>
          <w:rFonts w:hint="eastAsia" w:ascii="微软雅黑" w:hAnsi="微软雅黑" w:eastAsia="微软雅黑" w:cs="微软雅黑"/>
        </w:rPr>
        <w:t>霍兰德职业倾向测试：帮助测评者发现和确定自己的职业兴趣和能力特长，使其对于自身性格匹配的职业类别、岗位特质有更为明晰的认识，从而在就业、升学进修或职业转向时，做出最佳的选择。</w:t>
      </w:r>
    </w:p>
    <w:p>
      <w:pPr>
        <w:numPr>
          <w:ilvl w:val="0"/>
          <w:numId w:val="3"/>
        </w:numPr>
        <w:spacing w:line="360" w:lineRule="auto"/>
        <w:rPr>
          <w:rFonts w:ascii="微软雅黑" w:hAnsi="微软雅黑" w:eastAsia="微软雅黑" w:cs="微软雅黑"/>
        </w:rPr>
      </w:pPr>
      <w:r>
        <w:rPr>
          <w:rFonts w:hint="eastAsia" w:ascii="微软雅黑" w:hAnsi="微软雅黑" w:eastAsia="微软雅黑" w:cs="微软雅黑"/>
        </w:rPr>
        <w:t>职业生涯成熟度测试：主要针对面向职场人际困境，缺乏解决策略的求职人群,从职业、人际等核心问题出发，帮助测评者查测多维度的成熟水平。</w:t>
      </w:r>
    </w:p>
    <w:p>
      <w:pPr>
        <w:pStyle w:val="13"/>
        <w:spacing w:line="360" w:lineRule="auto"/>
        <w:ind w:firstLine="480"/>
        <w:rPr>
          <w:rFonts w:ascii="微软雅黑" w:hAnsi="微软雅黑" w:eastAsia="微软雅黑" w:cs="微软雅黑"/>
          <w:sz w:val="24"/>
          <w:szCs w:val="24"/>
        </w:rPr>
      </w:pPr>
      <w:r>
        <w:rPr>
          <w:rFonts w:hint="eastAsia" w:ascii="微软雅黑" w:hAnsi="微软雅黑" w:eastAsia="微软雅黑" w:cs="微软雅黑"/>
          <w:sz w:val="24"/>
          <w:szCs w:val="24"/>
          <w:lang w:val="zh-CN"/>
        </w:rPr>
        <w:t>职场解读：全方位、多角度透视行业现状、发展前景。精准解读</w:t>
      </w:r>
      <w:r>
        <w:rPr>
          <w:rFonts w:hint="eastAsia" w:ascii="微软雅黑" w:hAnsi="微软雅黑" w:eastAsia="微软雅黑" w:cs="微软雅黑"/>
          <w:sz w:val="24"/>
          <w:szCs w:val="24"/>
        </w:rPr>
        <w:t>70余热门行业、上千家知名企业、上万个热点岗位。提供行业对应具体企业的最新资讯、剖析岗位任职状况。</w:t>
      </w:r>
    </w:p>
    <w:p>
      <w:pPr>
        <w:pStyle w:val="13"/>
        <w:spacing w:line="360" w:lineRule="auto"/>
        <w:ind w:firstLine="480"/>
        <w:rPr>
          <w:rFonts w:ascii="微软雅黑" w:hAnsi="微软雅黑" w:eastAsia="微软雅黑" w:cs="微软雅黑"/>
          <w:sz w:val="24"/>
          <w:szCs w:val="24"/>
          <w:lang w:val="zh-CN"/>
        </w:rPr>
      </w:pPr>
      <w:r>
        <w:rPr>
          <w:rFonts w:hint="eastAsia" w:ascii="微软雅黑" w:hAnsi="微软雅黑" w:eastAsia="微软雅黑" w:cs="微软雅黑"/>
          <w:sz w:val="24"/>
          <w:szCs w:val="24"/>
          <w:lang w:val="zh-CN"/>
        </w:rPr>
        <w:t>求职技能：整合披露最前沿的求职技能，全方位多角度帮助学生了解职场相关趋势，高效获取简历、面试、笔试、网申的全面、综合性指导。</w:t>
      </w:r>
    </w:p>
    <w:p>
      <w:pPr>
        <w:pStyle w:val="13"/>
        <w:spacing w:line="360" w:lineRule="auto"/>
        <w:ind w:firstLine="0" w:firstLineChars="0"/>
        <w:rPr>
          <w:rFonts w:ascii="微软雅黑" w:hAnsi="微软雅黑" w:eastAsia="微软雅黑" w:cs="微软雅黑"/>
          <w:sz w:val="24"/>
        </w:rPr>
      </w:pPr>
      <w:r>
        <w:rPr>
          <w:rFonts w:hint="eastAsia" w:ascii="微软雅黑" w:hAnsi="微软雅黑" w:eastAsia="微软雅黑" w:cs="微软雅黑"/>
        </w:rPr>
        <w:drawing>
          <wp:inline distT="0" distB="0" distL="0" distR="0">
            <wp:extent cx="5270500" cy="3048000"/>
            <wp:effectExtent l="0" t="0" r="635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5270500" cy="3048000"/>
                    </a:xfrm>
                    <a:prstGeom prst="rect">
                      <a:avLst/>
                    </a:prstGeom>
                    <a:noFill/>
                    <a:ln>
                      <a:noFill/>
                    </a:ln>
                  </pic:spPr>
                </pic:pic>
              </a:graphicData>
            </a:graphic>
          </wp:inline>
        </w:drawing>
      </w:r>
    </w:p>
    <w:p>
      <w:pPr>
        <w:pStyle w:val="13"/>
        <w:spacing w:line="360" w:lineRule="auto"/>
        <w:ind w:firstLine="480"/>
        <w:rPr>
          <w:rFonts w:ascii="微软雅黑" w:hAnsi="微软雅黑" w:eastAsia="微软雅黑" w:cs="微软雅黑"/>
          <w:kern w:val="0"/>
          <w:szCs w:val="21"/>
          <w:lang w:val="zh-CN"/>
        </w:rPr>
      </w:pPr>
      <w:r>
        <w:rPr>
          <w:rFonts w:hint="eastAsia" w:ascii="微软雅黑" w:hAnsi="微软雅黑" w:eastAsia="微软雅黑" w:cs="微软雅黑"/>
          <w:sz w:val="24"/>
          <w:szCs w:val="24"/>
          <w:lang w:val="zh-CN"/>
        </w:rPr>
        <w:t>模拟考试：紧密围绕各类考试大纲最新要求，结合历年真题特点与变动趋势，十大类、近百种考试的五千余份高仿真模拟试题全面提升学习效果。</w:t>
      </w:r>
    </w:p>
    <w:p>
      <w:pPr>
        <w:pStyle w:val="13"/>
        <w:spacing w:line="360" w:lineRule="auto"/>
        <w:ind w:firstLine="0" w:firstLineChars="0"/>
        <w:jc w:val="center"/>
        <w:rPr>
          <w:rFonts w:ascii="微软雅黑" w:hAnsi="微软雅黑" w:eastAsia="微软雅黑" w:cs="微软雅黑"/>
          <w:kern w:val="0"/>
          <w:szCs w:val="21"/>
          <w:lang w:val="zh-CN"/>
        </w:rPr>
      </w:pPr>
      <w:r>
        <w:rPr>
          <w:rFonts w:hint="eastAsia" w:ascii="微软雅黑" w:hAnsi="微软雅黑" w:eastAsia="微软雅黑" w:cs="微软雅黑"/>
          <w:kern w:val="0"/>
          <w:szCs w:val="21"/>
          <w:lang w:val="zh-CN"/>
        </w:rPr>
        <w:drawing>
          <wp:inline distT="0" distB="0" distL="0" distR="0">
            <wp:extent cx="4965700" cy="2159000"/>
            <wp:effectExtent l="0" t="0" r="635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6" cstate="print">
                      <a:extLst>
                        <a:ext uri="{28A0092B-C50C-407E-A947-70E740481C1C}">
                          <a14:useLocalDpi xmlns:a14="http://schemas.microsoft.com/office/drawing/2010/main" val="0"/>
                        </a:ext>
                      </a:extLst>
                    </a:blip>
                    <a:srcRect l="3036" t="31610" r="2747"/>
                    <a:stretch>
                      <a:fillRect/>
                    </a:stretch>
                  </pic:blipFill>
                  <pic:spPr>
                    <a:xfrm>
                      <a:off x="0" y="0"/>
                      <a:ext cx="4965700" cy="2159000"/>
                    </a:xfrm>
                    <a:prstGeom prst="rect">
                      <a:avLst/>
                    </a:prstGeom>
                    <a:noFill/>
                    <a:ln>
                      <a:noFill/>
                    </a:ln>
                    <a:effectLst/>
                  </pic:spPr>
                </pic:pic>
              </a:graphicData>
            </a:graphic>
          </wp:inline>
        </w:drawing>
      </w:r>
    </w:p>
    <w:p>
      <w:pPr>
        <w:pStyle w:val="13"/>
        <w:spacing w:line="360" w:lineRule="auto"/>
        <w:ind w:firstLine="480"/>
        <w:rPr>
          <w:rFonts w:ascii="微软雅黑" w:hAnsi="微软雅黑" w:eastAsia="微软雅黑" w:cs="微软雅黑"/>
        </w:rPr>
      </w:pPr>
      <w:r>
        <w:rPr>
          <w:rFonts w:hint="eastAsia" w:ascii="微软雅黑" w:hAnsi="微软雅黑" w:eastAsia="微软雅黑" w:cs="微软雅黑"/>
          <w:sz w:val="24"/>
          <w:szCs w:val="24"/>
          <w:lang w:val="zh-CN"/>
        </w:rPr>
        <w:t>活动服务，集合时下热点，定期邀请业内具备影响力的社会风云人物，与广大学子面对面针对职场的热点话题进行交流，助力大学生提早进入状态，做好就业、深造准备。</w:t>
      </w:r>
    </w:p>
    <w:p>
      <w:pPr>
        <w:pStyle w:val="3"/>
        <w:numPr>
          <w:ilvl w:val="0"/>
          <w:numId w:val="2"/>
        </w:numPr>
        <w:spacing w:line="360" w:lineRule="auto"/>
        <w:rPr>
          <w:rFonts w:ascii="微软雅黑" w:hAnsi="微软雅黑" w:eastAsia="微软雅黑" w:cs="微软雅黑"/>
          <w:b w:val="0"/>
          <w:bCs w:val="0"/>
        </w:rPr>
      </w:pPr>
      <w:r>
        <w:rPr>
          <w:rFonts w:hint="eastAsia" w:ascii="微软雅黑" w:hAnsi="微软雅黑" w:eastAsia="微软雅黑" w:cs="微软雅黑"/>
          <w:b w:val="0"/>
          <w:bCs w:val="0"/>
        </w:rPr>
        <w:t>优质资源介绍</w:t>
      </w:r>
    </w:p>
    <w:tbl>
      <w:tblPr>
        <w:tblStyle w:val="6"/>
        <w:tblpPr w:leftFromText="180" w:rightFromText="180" w:vertAnchor="text" w:horzAnchor="page" w:tblpXSpec="center" w:tblpY="302"/>
        <w:tblOverlap w:val="never"/>
        <w:tblW w:w="8913" w:type="dxa"/>
        <w:jc w:val="center"/>
        <w:tblBorders>
          <w:top w:val="single" w:color="262626" w:themeColor="text1" w:themeTint="D8" w:sz="4" w:space="0"/>
          <w:left w:val="single" w:color="262626" w:themeColor="text1" w:themeTint="D8" w:sz="4" w:space="0"/>
          <w:bottom w:val="single" w:color="262626" w:themeColor="text1" w:themeTint="D8" w:sz="4" w:space="0"/>
          <w:right w:val="single" w:color="262626" w:themeColor="text1" w:themeTint="D8" w:sz="4" w:space="0"/>
          <w:insideH w:val="none" w:color="auto" w:sz="0" w:space="0"/>
          <w:insideV w:val="none" w:color="auto" w:sz="0" w:space="0"/>
        </w:tblBorders>
        <w:tblLayout w:type="fixed"/>
        <w:tblCellMar>
          <w:top w:w="0" w:type="dxa"/>
          <w:left w:w="0" w:type="dxa"/>
          <w:bottom w:w="0" w:type="dxa"/>
          <w:right w:w="0" w:type="dxa"/>
        </w:tblCellMar>
      </w:tblPr>
      <w:tblGrid>
        <w:gridCol w:w="1290"/>
        <w:gridCol w:w="1261"/>
        <w:gridCol w:w="6362"/>
      </w:tblGrid>
      <w:tr>
        <w:tblPrEx>
          <w:tblBorders>
            <w:top w:val="single" w:color="262626" w:themeColor="text1" w:themeTint="D8" w:sz="4" w:space="0"/>
            <w:left w:val="single" w:color="262626" w:themeColor="text1" w:themeTint="D8" w:sz="4" w:space="0"/>
            <w:bottom w:val="single" w:color="262626" w:themeColor="text1" w:themeTint="D8" w:sz="4" w:space="0"/>
            <w:right w:val="single" w:color="262626" w:themeColor="text1" w:themeTint="D8" w:sz="4" w:space="0"/>
            <w:insideH w:val="none" w:color="auto" w:sz="0" w:space="0"/>
            <w:insideV w:val="none" w:color="auto" w:sz="0" w:space="0"/>
          </w:tblBorders>
          <w:tblCellMar>
            <w:top w:w="0" w:type="dxa"/>
            <w:left w:w="0" w:type="dxa"/>
            <w:bottom w:w="0" w:type="dxa"/>
            <w:right w:w="0" w:type="dxa"/>
          </w:tblCellMar>
        </w:tblPrEx>
        <w:trPr>
          <w:trHeight w:val="283" w:hRule="atLeast"/>
          <w:jc w:val="center"/>
        </w:trPr>
        <w:tc>
          <w:tcPr>
            <w:tcW w:w="2546" w:type="dxa"/>
            <w:gridSpan w:val="2"/>
            <w:tcBorders>
              <w:top w:val="single" w:color="595959" w:themeColor="text1" w:themeTint="A5" w:sz="4" w:space="0"/>
              <w:left w:val="single" w:color="595959" w:themeColor="text1" w:themeTint="A5" w:sz="4" w:space="0"/>
              <w:bottom w:val="single" w:color="595959" w:themeColor="text1" w:themeTint="A5" w:sz="4" w:space="0"/>
              <w:right w:val="single" w:color="595959" w:themeColor="text1" w:themeTint="A5" w:sz="4" w:space="0"/>
            </w:tcBorders>
            <w:shd w:val="clear" w:color="4F81BD" w:fill="4F81BD"/>
            <w:noWrap/>
            <w:tcMar>
              <w:top w:w="12" w:type="dxa"/>
              <w:left w:w="12" w:type="dxa"/>
              <w:right w:w="12" w:type="dxa"/>
            </w:tcMar>
            <w:vAlign w:val="center"/>
          </w:tcPr>
          <w:p>
            <w:pPr>
              <w:widowControl/>
              <w:jc w:val="center"/>
              <w:textAlignment w:val="center"/>
              <w:rPr>
                <w:rFonts w:ascii="宋体" w:hAnsi="宋体" w:cs="宋体"/>
                <w:b/>
                <w:color w:val="FFFFFF"/>
                <w:sz w:val="22"/>
              </w:rPr>
            </w:pPr>
            <w:r>
              <w:rPr>
                <w:rFonts w:hint="eastAsia" w:ascii="宋体" w:hAnsi="宋体" w:cs="宋体"/>
                <w:b/>
                <w:color w:val="FFFFFF"/>
                <w:sz w:val="22"/>
              </w:rPr>
              <w:t xml:space="preserve">分类体系      </w:t>
            </w:r>
          </w:p>
        </w:tc>
        <w:tc>
          <w:tcPr>
            <w:tcW w:w="6362" w:type="dxa"/>
            <w:tcBorders>
              <w:top w:val="single" w:color="595959" w:themeColor="text1" w:themeTint="A5" w:sz="4" w:space="0"/>
              <w:left w:val="single" w:color="595959" w:themeColor="text1" w:themeTint="A5" w:sz="4" w:space="0"/>
              <w:right w:val="single" w:color="595959" w:themeColor="text1" w:themeTint="A5" w:sz="4" w:space="0"/>
            </w:tcBorders>
            <w:shd w:val="clear" w:color="4F81BD" w:fill="4F81BD"/>
            <w:noWrap/>
            <w:tcMar>
              <w:top w:w="12" w:type="dxa"/>
              <w:left w:w="12" w:type="dxa"/>
              <w:right w:w="12" w:type="dxa"/>
            </w:tcMar>
            <w:vAlign w:val="center"/>
          </w:tcPr>
          <w:p>
            <w:pPr>
              <w:widowControl/>
              <w:jc w:val="center"/>
              <w:textAlignment w:val="center"/>
              <w:rPr>
                <w:rFonts w:ascii="宋体" w:hAnsi="宋体" w:cs="宋体"/>
                <w:b/>
                <w:color w:val="FFFFFF"/>
                <w:sz w:val="22"/>
              </w:rPr>
            </w:pPr>
            <w:r>
              <w:rPr>
                <w:rFonts w:hint="eastAsia" w:ascii="宋体" w:hAnsi="宋体" w:cs="宋体"/>
                <w:b/>
                <w:color w:val="FFFFFF"/>
                <w:kern w:val="0"/>
                <w:sz w:val="22"/>
                <w:lang w:bidi="ar"/>
              </w:rPr>
              <w:t>课程介绍</w:t>
            </w:r>
          </w:p>
        </w:tc>
      </w:tr>
      <w:tr>
        <w:tblPrEx>
          <w:tblBorders>
            <w:top w:val="single" w:color="262626" w:themeColor="text1" w:themeTint="D8" w:sz="4" w:space="0"/>
            <w:left w:val="single" w:color="262626" w:themeColor="text1" w:themeTint="D8" w:sz="4" w:space="0"/>
            <w:bottom w:val="single" w:color="262626" w:themeColor="text1" w:themeTint="D8" w:sz="4" w:space="0"/>
            <w:right w:val="single" w:color="262626" w:themeColor="text1" w:themeTint="D8" w:sz="4" w:space="0"/>
            <w:insideH w:val="none" w:color="auto" w:sz="0" w:space="0"/>
            <w:insideV w:val="none" w:color="auto" w:sz="0" w:space="0"/>
          </w:tblBorders>
          <w:tblCellMar>
            <w:top w:w="0" w:type="dxa"/>
            <w:left w:w="0" w:type="dxa"/>
            <w:bottom w:w="0" w:type="dxa"/>
            <w:right w:w="0" w:type="dxa"/>
          </w:tblCellMar>
        </w:tblPrEx>
        <w:trPr>
          <w:trHeight w:val="340" w:hRule="atLeast"/>
          <w:jc w:val="center"/>
        </w:trPr>
        <w:tc>
          <w:tcPr>
            <w:tcW w:w="1290" w:type="dxa"/>
            <w:tcBorders>
              <w:top w:val="single" w:color="595959" w:themeColor="text1" w:themeTint="A5" w:sz="4" w:space="0"/>
              <w:left w:val="single" w:color="595959" w:themeColor="text1" w:themeTint="A5" w:sz="4" w:space="0"/>
              <w:bottom w:val="single" w:color="595959" w:themeColor="text1" w:themeTint="A5" w:sz="4" w:space="0"/>
              <w:right w:val="single" w:color="595959" w:themeColor="text1" w:themeTint="A5" w:sz="4" w:space="0"/>
            </w:tcBorders>
            <w:shd w:val="clear" w:color="4F81BD" w:fill="4F81BD"/>
            <w:noWrap/>
            <w:tcMar>
              <w:top w:w="12" w:type="dxa"/>
              <w:left w:w="12" w:type="dxa"/>
              <w:right w:w="12" w:type="dxa"/>
            </w:tcMar>
            <w:vAlign w:val="center"/>
          </w:tcPr>
          <w:p>
            <w:pPr>
              <w:widowControl/>
              <w:jc w:val="center"/>
              <w:textAlignment w:val="center"/>
              <w:rPr>
                <w:rFonts w:ascii="宋体" w:hAnsi="宋体" w:cs="宋体"/>
                <w:b/>
                <w:color w:val="FFFFFF"/>
                <w:sz w:val="22"/>
              </w:rPr>
            </w:pPr>
            <w:r>
              <w:rPr>
                <w:rFonts w:hint="eastAsia" w:ascii="宋体" w:hAnsi="宋体" w:cs="宋体"/>
                <w:b/>
                <w:color w:val="FFFFFF"/>
                <w:sz w:val="22"/>
              </w:rPr>
              <w:t>一级分类</w:t>
            </w:r>
          </w:p>
        </w:tc>
        <w:tc>
          <w:tcPr>
            <w:tcW w:w="1261" w:type="dxa"/>
            <w:tcBorders>
              <w:top w:val="single" w:color="595959" w:themeColor="text1" w:themeTint="A5" w:sz="4" w:space="0"/>
              <w:left w:val="single" w:color="595959" w:themeColor="text1" w:themeTint="A5" w:sz="4" w:space="0"/>
              <w:bottom w:val="single" w:color="595959" w:themeColor="text1" w:themeTint="A5" w:sz="4" w:space="0"/>
              <w:right w:val="single" w:color="595959" w:themeColor="text1" w:themeTint="A5" w:sz="4" w:space="0"/>
            </w:tcBorders>
            <w:shd w:val="clear" w:color="4F81BD" w:fill="4F81BD"/>
            <w:noWrap/>
            <w:tcMar>
              <w:top w:w="12" w:type="dxa"/>
              <w:left w:w="12" w:type="dxa"/>
              <w:right w:w="12" w:type="dxa"/>
            </w:tcMar>
            <w:vAlign w:val="center"/>
          </w:tcPr>
          <w:p>
            <w:pPr>
              <w:widowControl/>
              <w:jc w:val="center"/>
              <w:textAlignment w:val="center"/>
              <w:rPr>
                <w:rFonts w:ascii="宋体" w:hAnsi="宋体" w:cs="宋体"/>
                <w:b/>
                <w:color w:val="FFFFFF"/>
                <w:sz w:val="22"/>
              </w:rPr>
            </w:pPr>
            <w:r>
              <w:rPr>
                <w:rFonts w:hint="eastAsia" w:ascii="宋体" w:hAnsi="宋体" w:cs="宋体"/>
                <w:b/>
                <w:color w:val="FFFFFF"/>
                <w:kern w:val="0"/>
                <w:sz w:val="22"/>
                <w:lang w:bidi="ar"/>
              </w:rPr>
              <w:t>二级分类</w:t>
            </w:r>
          </w:p>
        </w:tc>
        <w:tc>
          <w:tcPr>
            <w:tcW w:w="6362" w:type="dxa"/>
            <w:tcBorders>
              <w:left w:val="single" w:color="595959" w:themeColor="text1" w:themeTint="A5" w:sz="4" w:space="0"/>
              <w:right w:val="single" w:color="595959" w:themeColor="text1" w:themeTint="A5" w:sz="4" w:space="0"/>
            </w:tcBorders>
            <w:shd w:val="clear" w:color="4F81BD" w:fill="4F81BD"/>
            <w:noWrap/>
            <w:tcMar>
              <w:top w:w="12" w:type="dxa"/>
              <w:left w:w="12" w:type="dxa"/>
              <w:right w:w="12" w:type="dxa"/>
            </w:tcMar>
            <w:vAlign w:val="center"/>
          </w:tcPr>
          <w:p>
            <w:pPr>
              <w:widowControl/>
              <w:jc w:val="center"/>
              <w:textAlignment w:val="center"/>
              <w:rPr>
                <w:rFonts w:ascii="宋体" w:hAnsi="宋体" w:cs="宋体"/>
                <w:b/>
                <w:color w:val="FFFFFF"/>
                <w:sz w:val="22"/>
              </w:rPr>
            </w:pPr>
          </w:p>
        </w:tc>
      </w:tr>
      <w:tr>
        <w:tblPrEx>
          <w:tblBorders>
            <w:top w:val="single" w:color="262626" w:themeColor="text1" w:themeTint="D8" w:sz="4" w:space="0"/>
            <w:left w:val="single" w:color="262626" w:themeColor="text1" w:themeTint="D8" w:sz="4" w:space="0"/>
            <w:bottom w:val="single" w:color="262626" w:themeColor="text1" w:themeTint="D8" w:sz="4" w:space="0"/>
            <w:right w:val="single" w:color="262626" w:themeColor="text1" w:themeTint="D8" w:sz="4" w:space="0"/>
            <w:insideH w:val="none" w:color="auto" w:sz="0" w:space="0"/>
            <w:insideV w:val="none" w:color="auto" w:sz="0" w:space="0"/>
          </w:tblBorders>
          <w:tblCellMar>
            <w:top w:w="0" w:type="dxa"/>
            <w:left w:w="0" w:type="dxa"/>
            <w:bottom w:w="0" w:type="dxa"/>
            <w:right w:w="0" w:type="dxa"/>
          </w:tblCellMar>
        </w:tblPrEx>
        <w:trPr>
          <w:trHeight w:val="354" w:hRule="atLeast"/>
          <w:jc w:val="center"/>
        </w:trPr>
        <w:tc>
          <w:tcPr>
            <w:tcW w:w="1290" w:type="dxa"/>
            <w:tcBorders>
              <w:top w:val="single" w:color="595959" w:themeColor="text1" w:themeTint="A5" w:sz="4" w:space="0"/>
              <w:tl2br w:val="nil"/>
              <w:tr2bl w:val="nil"/>
            </w:tcBorders>
            <w:shd w:val="clear" w:color="auto" w:fill="auto"/>
            <w:noWrap/>
            <w:tcMar>
              <w:top w:w="12" w:type="dxa"/>
              <w:left w:w="12" w:type="dxa"/>
              <w:right w:w="12" w:type="dxa"/>
            </w:tcMar>
            <w:vAlign w:val="center"/>
          </w:tcPr>
          <w:p>
            <w:pPr>
              <w:jc w:val="center"/>
              <w:rPr>
                <w:rFonts w:ascii="宋体" w:hAnsi="宋体" w:cs="宋体"/>
                <w:color w:val="000000"/>
                <w:kern w:val="0"/>
                <w:sz w:val="22"/>
                <w:lang w:bidi="ar"/>
              </w:rPr>
            </w:pPr>
            <w:r>
              <w:rPr>
                <w:rFonts w:hint="eastAsia" w:ascii="宋体" w:hAnsi="宋体" w:cs="宋体"/>
                <w:color w:val="000000"/>
                <w:kern w:val="0"/>
                <w:sz w:val="22"/>
                <w:lang w:bidi="ar"/>
              </w:rPr>
              <w:t>语言学习</w:t>
            </w:r>
          </w:p>
          <w:p>
            <w:pPr>
              <w:jc w:val="center"/>
              <w:rPr>
                <w:rFonts w:ascii="宋体" w:hAnsi="宋体" w:cs="宋体"/>
                <w:color w:val="000000"/>
                <w:kern w:val="0"/>
                <w:sz w:val="22"/>
                <w:lang w:bidi="ar"/>
              </w:rPr>
            </w:pPr>
            <w:r>
              <w:rPr>
                <w:rFonts w:hint="eastAsia" w:ascii="宋体" w:hAnsi="宋体" w:cs="宋体"/>
                <w:color w:val="000000"/>
                <w:kern w:val="0"/>
                <w:sz w:val="22"/>
                <w:lang w:bidi="ar"/>
              </w:rPr>
              <w:t>25篇</w:t>
            </w:r>
          </w:p>
          <w:p>
            <w:pPr>
              <w:jc w:val="center"/>
              <w:rPr>
                <w:rFonts w:ascii="宋体" w:hAnsi="宋体" w:cs="宋体"/>
                <w:color w:val="000000"/>
                <w:kern w:val="0"/>
                <w:sz w:val="22"/>
                <w:lang w:bidi="ar"/>
              </w:rPr>
            </w:pPr>
            <w:r>
              <w:rPr>
                <w:rFonts w:hint="eastAsia" w:ascii="宋体" w:hAnsi="宋体" w:cs="宋体"/>
                <w:color w:val="000000"/>
                <w:kern w:val="0"/>
                <w:sz w:val="22"/>
                <w:lang w:bidi="ar"/>
              </w:rPr>
              <w:t>占比：1.7%</w:t>
            </w:r>
          </w:p>
        </w:tc>
        <w:tc>
          <w:tcPr>
            <w:tcW w:w="1261" w:type="dxa"/>
            <w:tcBorders>
              <w:top w:val="single" w:color="595959" w:themeColor="text1" w:themeTint="A5" w:sz="4" w:space="0"/>
              <w:tl2br w:val="nil"/>
              <w:tr2bl w:val="nil"/>
            </w:tcBorders>
            <w:shd w:val="clear" w:color="auto" w:fill="auto"/>
            <w:noWrap/>
            <w:tcMar>
              <w:top w:w="12" w:type="dxa"/>
              <w:left w:w="12" w:type="dxa"/>
              <w:right w:w="12" w:type="dxa"/>
            </w:tcMar>
            <w:vAlign w:val="center"/>
          </w:tcPr>
          <w:p>
            <w:pPr>
              <w:jc w:val="center"/>
              <w:rPr>
                <w:rFonts w:ascii="宋体" w:hAnsi="宋体" w:cs="宋体"/>
                <w:color w:val="000000"/>
                <w:sz w:val="22"/>
              </w:rPr>
            </w:pPr>
            <w:r>
              <w:rPr>
                <w:rFonts w:hint="eastAsia" w:ascii="宋体" w:hAnsi="宋体" w:cs="宋体"/>
                <w:color w:val="000000"/>
                <w:sz w:val="22"/>
              </w:rPr>
              <w:t>多语种</w:t>
            </w:r>
          </w:p>
        </w:tc>
        <w:tc>
          <w:tcPr>
            <w:tcW w:w="6362" w:type="dxa"/>
            <w:tcBorders>
              <w:top w:val="single" w:color="595959" w:themeColor="text1" w:themeTint="A5" w:sz="4" w:space="0"/>
              <w:tl2br w:val="nil"/>
              <w:tr2bl w:val="nil"/>
            </w:tcBorders>
            <w:shd w:val="clear" w:color="auto" w:fill="auto"/>
            <w:noWrap/>
            <w:tcMar>
              <w:top w:w="12" w:type="dxa"/>
              <w:left w:w="12" w:type="dxa"/>
              <w:right w:w="12" w:type="dxa"/>
            </w:tcMar>
            <w:vAlign w:val="center"/>
          </w:tcPr>
          <w:p>
            <w:pPr>
              <w:jc w:val="left"/>
              <w:rPr>
                <w:rFonts w:ascii="宋体" w:hAnsi="宋体" w:cs="宋体"/>
                <w:color w:val="000000"/>
                <w:sz w:val="22"/>
              </w:rPr>
            </w:pPr>
            <w:r>
              <w:rPr>
                <w:rFonts w:hint="eastAsia" w:ascii="宋体" w:hAnsi="宋体" w:cs="宋体"/>
                <w:color w:val="000000"/>
                <w:sz w:val="22"/>
              </w:rPr>
              <w:t xml:space="preserve">    《西班牙语零基础》：近年，西班牙语展现了其作为 “对于世界经济而言极其重要的第二外语”的活力而倍受重视。将来在中国的发展前景空间非常光明和广阔。如果掌握了西班牙语，将来的职业前景和职场生涯将会充满机遇。</w:t>
            </w:r>
          </w:p>
          <w:p>
            <w:pPr>
              <w:ind w:firstLine="440" w:firstLineChars="200"/>
              <w:jc w:val="left"/>
              <w:rPr>
                <w:rFonts w:ascii="宋体" w:hAnsi="宋体" w:cs="宋体"/>
                <w:color w:val="000000"/>
                <w:sz w:val="22"/>
              </w:rPr>
            </w:pPr>
            <w:r>
              <w:rPr>
                <w:rFonts w:hint="eastAsia" w:ascii="宋体" w:hAnsi="宋体" w:cs="宋体"/>
                <w:color w:val="2F5597" w:themeColor="accent1" w:themeShade="BF"/>
                <w:sz w:val="22"/>
              </w:rPr>
              <w:t>课程分类：</w:t>
            </w:r>
            <w:r>
              <w:rPr>
                <w:rFonts w:ascii="Arial" w:hAnsi="Arial" w:cs="Arial"/>
                <w:color w:val="2F5597" w:themeColor="accent1" w:themeShade="BF"/>
                <w:kern w:val="0"/>
                <w:sz w:val="22"/>
                <w:lang w:bidi="ar"/>
              </w:rPr>
              <w:t>西班牙语</w:t>
            </w:r>
          </w:p>
        </w:tc>
      </w:tr>
      <w:tr>
        <w:tblPrEx>
          <w:tblBorders>
            <w:top w:val="single" w:color="262626" w:themeColor="text1" w:themeTint="D8" w:sz="4" w:space="0"/>
            <w:left w:val="single" w:color="262626" w:themeColor="text1" w:themeTint="D8" w:sz="4" w:space="0"/>
            <w:bottom w:val="single" w:color="262626" w:themeColor="text1" w:themeTint="D8" w:sz="4" w:space="0"/>
            <w:right w:val="single" w:color="262626" w:themeColor="text1" w:themeTint="D8" w:sz="4" w:space="0"/>
            <w:insideH w:val="none" w:color="auto" w:sz="0" w:space="0"/>
            <w:insideV w:val="none" w:color="auto" w:sz="0" w:space="0"/>
          </w:tblBorders>
          <w:tblCellMar>
            <w:top w:w="0" w:type="dxa"/>
            <w:left w:w="0" w:type="dxa"/>
            <w:bottom w:w="0" w:type="dxa"/>
            <w:right w:w="0" w:type="dxa"/>
          </w:tblCellMar>
        </w:tblPrEx>
        <w:trPr>
          <w:trHeight w:val="354" w:hRule="atLeast"/>
          <w:jc w:val="center"/>
        </w:trPr>
        <w:tc>
          <w:tcPr>
            <w:tcW w:w="1290" w:type="dxa"/>
            <w:vMerge w:val="restart"/>
            <w:tcBorders>
              <w:tl2br w:val="nil"/>
              <w:tr2bl w:val="nil"/>
            </w:tcBorders>
            <w:shd w:val="clear" w:color="auto" w:fill="auto"/>
            <w:noWrap/>
            <w:tcMar>
              <w:top w:w="12" w:type="dxa"/>
              <w:left w:w="12" w:type="dxa"/>
              <w:right w:w="12" w:type="dxa"/>
            </w:tcMar>
            <w:vAlign w:val="center"/>
          </w:tcPr>
          <w:p>
            <w:pPr>
              <w:jc w:val="center"/>
              <w:rPr>
                <w:rFonts w:ascii="宋体" w:hAnsi="宋体" w:cs="宋体"/>
                <w:color w:val="000000"/>
                <w:kern w:val="0"/>
                <w:sz w:val="22"/>
                <w:lang w:bidi="ar"/>
              </w:rPr>
            </w:pPr>
            <w:r>
              <w:rPr>
                <w:rFonts w:hint="eastAsia" w:ascii="宋体" w:hAnsi="宋体" w:cs="宋体"/>
                <w:color w:val="000000"/>
                <w:kern w:val="0"/>
                <w:sz w:val="22"/>
                <w:lang w:bidi="ar"/>
              </w:rPr>
              <w:t>IT/互联网</w:t>
            </w:r>
          </w:p>
          <w:p>
            <w:pPr>
              <w:jc w:val="center"/>
              <w:rPr>
                <w:rFonts w:ascii="宋体" w:hAnsi="宋体" w:cs="宋体"/>
                <w:color w:val="000000"/>
                <w:kern w:val="0"/>
                <w:sz w:val="22"/>
                <w:lang w:bidi="ar"/>
              </w:rPr>
            </w:pPr>
            <w:r>
              <w:rPr>
                <w:rFonts w:hint="eastAsia" w:ascii="宋体" w:hAnsi="宋体" w:cs="宋体"/>
                <w:color w:val="000000"/>
                <w:kern w:val="0"/>
                <w:sz w:val="22"/>
                <w:lang w:bidi="ar"/>
              </w:rPr>
              <w:t>179篇</w:t>
            </w:r>
          </w:p>
          <w:p>
            <w:pPr>
              <w:jc w:val="center"/>
              <w:rPr>
                <w:rFonts w:ascii="宋体" w:hAnsi="宋体" w:cs="宋体"/>
                <w:color w:val="000000"/>
                <w:kern w:val="0"/>
                <w:sz w:val="22"/>
                <w:lang w:bidi="ar"/>
              </w:rPr>
            </w:pPr>
            <w:r>
              <w:rPr>
                <w:rFonts w:hint="eastAsia" w:ascii="宋体" w:hAnsi="宋体" w:cs="宋体"/>
                <w:color w:val="000000"/>
                <w:kern w:val="0"/>
                <w:sz w:val="22"/>
                <w:lang w:bidi="ar"/>
              </w:rPr>
              <w:t>占比：11.7%</w:t>
            </w:r>
          </w:p>
        </w:tc>
        <w:tc>
          <w:tcPr>
            <w:tcW w:w="1261" w:type="dxa"/>
            <w:tcBorders>
              <w:tl2br w:val="nil"/>
              <w:tr2bl w:val="nil"/>
            </w:tcBorders>
            <w:shd w:val="clear" w:color="auto" w:fill="auto"/>
            <w:noWrap/>
            <w:tcMar>
              <w:top w:w="12" w:type="dxa"/>
              <w:left w:w="12" w:type="dxa"/>
              <w:right w:w="12" w:type="dxa"/>
            </w:tcMar>
            <w:vAlign w:val="center"/>
          </w:tcPr>
          <w:p>
            <w:pPr>
              <w:jc w:val="center"/>
              <w:rPr>
                <w:rFonts w:ascii="宋体" w:hAnsi="宋体" w:cs="宋体"/>
                <w:color w:val="000000"/>
                <w:sz w:val="22"/>
              </w:rPr>
            </w:pPr>
            <w:r>
              <w:rPr>
                <w:rFonts w:hint="eastAsia" w:ascii="宋体" w:hAnsi="宋体" w:cs="宋体"/>
                <w:color w:val="000000"/>
                <w:sz w:val="22"/>
              </w:rPr>
              <w:t>产品</w:t>
            </w:r>
          </w:p>
        </w:tc>
        <w:tc>
          <w:tcPr>
            <w:tcW w:w="6362" w:type="dxa"/>
            <w:tcBorders>
              <w:tl2br w:val="nil"/>
              <w:tr2bl w:val="nil"/>
            </w:tcBorders>
            <w:shd w:val="clear" w:color="auto" w:fill="auto"/>
            <w:noWrap/>
            <w:tcMar>
              <w:top w:w="12" w:type="dxa"/>
              <w:left w:w="12" w:type="dxa"/>
              <w:right w:w="12" w:type="dxa"/>
            </w:tcMar>
            <w:vAlign w:val="center"/>
          </w:tcPr>
          <w:p>
            <w:pPr>
              <w:ind w:firstLine="440" w:firstLineChars="200"/>
              <w:jc w:val="left"/>
              <w:rPr>
                <w:rFonts w:ascii="宋体" w:hAnsi="宋体" w:cs="宋体"/>
                <w:color w:val="000000"/>
                <w:sz w:val="22"/>
              </w:rPr>
            </w:pPr>
            <w:r>
              <w:rPr>
                <w:rFonts w:hint="eastAsia" w:ascii="宋体" w:hAnsi="宋体" w:cs="宋体"/>
                <w:color w:val="000000"/>
                <w:sz w:val="22"/>
              </w:rPr>
              <w:t>《产品经理做用户研究的三大法宝》：本课程讲解了产品经理做用户研究三大法宝：一、给典型用户画像；二、用户访谈调研；三、分析用户使用轨迹。课程来源：极客学院。</w:t>
            </w:r>
          </w:p>
          <w:p>
            <w:pPr>
              <w:jc w:val="left"/>
              <w:rPr>
                <w:rFonts w:ascii="宋体" w:hAnsi="宋体" w:cs="宋体"/>
                <w:color w:val="000000"/>
                <w:sz w:val="22"/>
              </w:rPr>
            </w:pPr>
            <w:r>
              <w:rPr>
                <w:rFonts w:hint="eastAsia" w:ascii="宋体" w:hAnsi="宋体" w:cs="宋体"/>
                <w:color w:val="000000"/>
                <w:sz w:val="22"/>
              </w:rPr>
              <w:t xml:space="preserve">    </w:t>
            </w:r>
            <w:r>
              <w:rPr>
                <w:rFonts w:hint="eastAsia" w:ascii="宋体" w:hAnsi="宋体" w:cs="宋体"/>
                <w:color w:val="2F5597" w:themeColor="accent1" w:themeShade="BF"/>
                <w:sz w:val="22"/>
              </w:rPr>
              <w:t>课程分类：产品经理</w:t>
            </w:r>
          </w:p>
        </w:tc>
      </w:tr>
      <w:tr>
        <w:tblPrEx>
          <w:tblBorders>
            <w:top w:val="single" w:color="262626" w:themeColor="text1" w:themeTint="D8" w:sz="4" w:space="0"/>
            <w:left w:val="single" w:color="262626" w:themeColor="text1" w:themeTint="D8" w:sz="4" w:space="0"/>
            <w:bottom w:val="single" w:color="262626" w:themeColor="text1" w:themeTint="D8" w:sz="4" w:space="0"/>
            <w:right w:val="single" w:color="262626" w:themeColor="text1" w:themeTint="D8" w:sz="4" w:space="0"/>
            <w:insideH w:val="none" w:color="auto" w:sz="0" w:space="0"/>
            <w:insideV w:val="none" w:color="auto" w:sz="0" w:space="0"/>
          </w:tblBorders>
          <w:tblCellMar>
            <w:top w:w="0" w:type="dxa"/>
            <w:left w:w="0" w:type="dxa"/>
            <w:bottom w:w="0" w:type="dxa"/>
            <w:right w:w="0" w:type="dxa"/>
          </w:tblCellMar>
        </w:tblPrEx>
        <w:trPr>
          <w:trHeight w:val="354" w:hRule="atLeast"/>
          <w:jc w:val="center"/>
        </w:trPr>
        <w:tc>
          <w:tcPr>
            <w:tcW w:w="1290" w:type="dxa"/>
            <w:vMerge w:val="continue"/>
            <w:tcBorders>
              <w:tl2br w:val="nil"/>
              <w:tr2bl w:val="nil"/>
            </w:tcBorders>
            <w:shd w:val="clear" w:color="auto" w:fill="auto"/>
            <w:noWrap/>
            <w:tcMar>
              <w:top w:w="12" w:type="dxa"/>
              <w:left w:w="12" w:type="dxa"/>
              <w:right w:w="12" w:type="dxa"/>
            </w:tcMar>
            <w:vAlign w:val="center"/>
          </w:tcPr>
          <w:p>
            <w:pPr>
              <w:jc w:val="center"/>
              <w:rPr>
                <w:rFonts w:ascii="宋体" w:hAnsi="宋体" w:cs="宋体"/>
                <w:color w:val="000000"/>
                <w:kern w:val="0"/>
                <w:sz w:val="22"/>
                <w:lang w:bidi="ar"/>
              </w:rPr>
            </w:pPr>
          </w:p>
        </w:tc>
        <w:tc>
          <w:tcPr>
            <w:tcW w:w="1261" w:type="dxa"/>
            <w:vMerge w:val="restart"/>
            <w:tcBorders>
              <w:tl2br w:val="nil"/>
              <w:tr2bl w:val="nil"/>
            </w:tcBorders>
            <w:shd w:val="clear" w:color="auto" w:fill="auto"/>
            <w:noWrap/>
            <w:tcMar>
              <w:top w:w="12" w:type="dxa"/>
              <w:left w:w="12" w:type="dxa"/>
              <w:right w:w="12" w:type="dxa"/>
            </w:tcMar>
            <w:vAlign w:val="center"/>
          </w:tcPr>
          <w:p>
            <w:pPr>
              <w:jc w:val="center"/>
              <w:rPr>
                <w:rFonts w:ascii="宋体" w:hAnsi="宋体" w:cs="宋体"/>
                <w:color w:val="000000"/>
                <w:sz w:val="22"/>
              </w:rPr>
            </w:pPr>
            <w:r>
              <w:rPr>
                <w:rFonts w:hint="eastAsia" w:ascii="宋体" w:hAnsi="宋体" w:cs="宋体"/>
                <w:color w:val="000000"/>
                <w:sz w:val="22"/>
              </w:rPr>
              <w:t>编程开发</w:t>
            </w:r>
          </w:p>
        </w:tc>
        <w:tc>
          <w:tcPr>
            <w:tcW w:w="6362" w:type="dxa"/>
            <w:tcBorders>
              <w:tl2br w:val="nil"/>
              <w:tr2bl w:val="nil"/>
            </w:tcBorders>
            <w:shd w:val="clear" w:color="auto" w:fill="auto"/>
            <w:noWrap/>
            <w:tcMar>
              <w:top w:w="12" w:type="dxa"/>
              <w:left w:w="12" w:type="dxa"/>
              <w:right w:w="12" w:type="dxa"/>
            </w:tcMar>
            <w:vAlign w:val="center"/>
          </w:tcPr>
          <w:p>
            <w:pPr>
              <w:ind w:firstLine="440" w:firstLineChars="200"/>
              <w:jc w:val="left"/>
              <w:rPr>
                <w:rFonts w:ascii="宋体" w:hAnsi="宋体" w:cs="宋体"/>
                <w:color w:val="000000"/>
                <w:sz w:val="22"/>
              </w:rPr>
            </w:pPr>
            <w:r>
              <w:rPr>
                <w:rFonts w:hint="eastAsia" w:ascii="宋体" w:hAnsi="宋体" w:cs="宋体"/>
                <w:color w:val="000000"/>
                <w:sz w:val="22"/>
              </w:rPr>
              <w:t>《微信小程序从基础到进阶》：本课程主要面向初级开发人员，主要课程模块包括微信小程序开发背景介绍与基础知识、开发进阶、UI设计与开发、API的使用与详解等。课程来源：极客学院。</w:t>
            </w:r>
          </w:p>
          <w:p>
            <w:pPr>
              <w:jc w:val="left"/>
              <w:rPr>
                <w:rFonts w:ascii="宋体" w:hAnsi="宋体" w:cs="宋体"/>
                <w:color w:val="000000"/>
                <w:sz w:val="22"/>
              </w:rPr>
            </w:pPr>
            <w:r>
              <w:rPr>
                <w:rFonts w:hint="eastAsia" w:ascii="宋体" w:hAnsi="宋体" w:cs="宋体"/>
                <w:color w:val="000000"/>
                <w:sz w:val="22"/>
              </w:rPr>
              <w:t xml:space="preserve">    </w:t>
            </w:r>
            <w:r>
              <w:rPr>
                <w:rFonts w:hint="eastAsia" w:ascii="宋体" w:hAnsi="宋体" w:cs="宋体"/>
                <w:color w:val="2F5597" w:themeColor="accent1" w:themeShade="BF"/>
                <w:sz w:val="22"/>
              </w:rPr>
              <w:t>课程分类：Android</w:t>
            </w:r>
          </w:p>
        </w:tc>
      </w:tr>
      <w:tr>
        <w:tblPrEx>
          <w:tblBorders>
            <w:top w:val="single" w:color="262626" w:themeColor="text1" w:themeTint="D8" w:sz="4" w:space="0"/>
            <w:left w:val="single" w:color="262626" w:themeColor="text1" w:themeTint="D8" w:sz="4" w:space="0"/>
            <w:bottom w:val="single" w:color="262626" w:themeColor="text1" w:themeTint="D8" w:sz="4" w:space="0"/>
            <w:right w:val="single" w:color="262626" w:themeColor="text1" w:themeTint="D8" w:sz="4" w:space="0"/>
            <w:insideH w:val="none" w:color="auto" w:sz="0" w:space="0"/>
            <w:insideV w:val="none" w:color="auto" w:sz="0" w:space="0"/>
          </w:tblBorders>
          <w:tblCellMar>
            <w:top w:w="0" w:type="dxa"/>
            <w:left w:w="0" w:type="dxa"/>
            <w:bottom w:w="0" w:type="dxa"/>
            <w:right w:w="0" w:type="dxa"/>
          </w:tblCellMar>
        </w:tblPrEx>
        <w:trPr>
          <w:trHeight w:val="354" w:hRule="atLeast"/>
          <w:jc w:val="center"/>
        </w:trPr>
        <w:tc>
          <w:tcPr>
            <w:tcW w:w="1290" w:type="dxa"/>
            <w:vMerge w:val="continue"/>
            <w:tcBorders>
              <w:tl2br w:val="nil"/>
              <w:tr2bl w:val="nil"/>
            </w:tcBorders>
            <w:shd w:val="clear" w:color="auto" w:fill="auto"/>
            <w:noWrap/>
            <w:tcMar>
              <w:top w:w="12" w:type="dxa"/>
              <w:left w:w="12" w:type="dxa"/>
              <w:right w:w="12" w:type="dxa"/>
            </w:tcMar>
            <w:vAlign w:val="center"/>
          </w:tcPr>
          <w:p>
            <w:pPr>
              <w:jc w:val="center"/>
              <w:rPr>
                <w:rFonts w:ascii="宋体" w:hAnsi="宋体" w:cs="宋体"/>
                <w:color w:val="000000"/>
                <w:kern w:val="0"/>
                <w:sz w:val="22"/>
                <w:lang w:bidi="ar"/>
              </w:rPr>
            </w:pPr>
          </w:p>
        </w:tc>
        <w:tc>
          <w:tcPr>
            <w:tcW w:w="1261" w:type="dxa"/>
            <w:vMerge w:val="continue"/>
            <w:tcBorders>
              <w:tl2br w:val="nil"/>
              <w:tr2bl w:val="nil"/>
            </w:tcBorders>
            <w:shd w:val="clear" w:color="auto" w:fill="auto"/>
            <w:noWrap/>
            <w:tcMar>
              <w:top w:w="12" w:type="dxa"/>
              <w:left w:w="12" w:type="dxa"/>
              <w:right w:w="12" w:type="dxa"/>
            </w:tcMar>
            <w:vAlign w:val="center"/>
          </w:tcPr>
          <w:p>
            <w:pPr>
              <w:jc w:val="center"/>
              <w:rPr>
                <w:rFonts w:ascii="宋体" w:hAnsi="宋体" w:cs="宋体"/>
                <w:color w:val="000000"/>
                <w:sz w:val="22"/>
              </w:rPr>
            </w:pPr>
          </w:p>
        </w:tc>
        <w:tc>
          <w:tcPr>
            <w:tcW w:w="6362" w:type="dxa"/>
            <w:tcBorders>
              <w:tl2br w:val="nil"/>
              <w:tr2bl w:val="nil"/>
            </w:tcBorders>
            <w:shd w:val="clear" w:color="auto" w:fill="auto"/>
            <w:noWrap/>
            <w:tcMar>
              <w:top w:w="12" w:type="dxa"/>
              <w:left w:w="12" w:type="dxa"/>
              <w:right w:w="12" w:type="dxa"/>
            </w:tcMar>
            <w:vAlign w:val="center"/>
          </w:tcPr>
          <w:p>
            <w:pPr>
              <w:ind w:firstLine="440" w:firstLineChars="200"/>
              <w:jc w:val="left"/>
              <w:rPr>
                <w:rFonts w:ascii="宋体" w:hAnsi="宋体" w:cs="宋体"/>
                <w:color w:val="000000"/>
                <w:sz w:val="22"/>
              </w:rPr>
            </w:pPr>
            <w:r>
              <w:rPr>
                <w:rFonts w:hint="eastAsia" w:ascii="宋体" w:hAnsi="宋体" w:cs="宋体"/>
                <w:color w:val="000000"/>
                <w:sz w:val="22"/>
              </w:rPr>
              <w:t>《Python 快速入门》：Python以其简洁、优雅、高效的特点，成为主流开发语言，其应用广泛，易学易用，让很多人爱不释手。本套课程为初学者量身打造，是你入门Python的必修课程。课程来源：极客学院。</w:t>
            </w:r>
          </w:p>
          <w:p>
            <w:pPr>
              <w:jc w:val="left"/>
              <w:rPr>
                <w:rFonts w:ascii="宋体" w:hAnsi="宋体" w:cs="宋体"/>
                <w:color w:val="000000"/>
                <w:sz w:val="22"/>
              </w:rPr>
            </w:pPr>
            <w:r>
              <w:rPr>
                <w:rFonts w:hint="eastAsia" w:ascii="宋体" w:hAnsi="宋体" w:cs="宋体"/>
                <w:color w:val="000000"/>
                <w:sz w:val="22"/>
              </w:rPr>
              <w:t xml:space="preserve">    </w:t>
            </w:r>
            <w:r>
              <w:rPr>
                <w:rFonts w:hint="eastAsia" w:ascii="宋体" w:hAnsi="宋体" w:cs="宋体"/>
                <w:color w:val="2F5597" w:themeColor="accent1" w:themeShade="BF"/>
                <w:sz w:val="22"/>
              </w:rPr>
              <w:t>课程分类：Python</w:t>
            </w:r>
          </w:p>
        </w:tc>
      </w:tr>
      <w:tr>
        <w:tblPrEx>
          <w:tblBorders>
            <w:top w:val="single" w:color="262626" w:themeColor="text1" w:themeTint="D8" w:sz="4" w:space="0"/>
            <w:left w:val="single" w:color="262626" w:themeColor="text1" w:themeTint="D8" w:sz="4" w:space="0"/>
            <w:bottom w:val="single" w:color="262626" w:themeColor="text1" w:themeTint="D8" w:sz="4" w:space="0"/>
            <w:right w:val="single" w:color="262626" w:themeColor="text1" w:themeTint="D8" w:sz="4" w:space="0"/>
            <w:insideH w:val="none" w:color="auto" w:sz="0" w:space="0"/>
            <w:insideV w:val="none" w:color="auto" w:sz="0" w:space="0"/>
          </w:tblBorders>
          <w:tblCellMar>
            <w:top w:w="0" w:type="dxa"/>
            <w:left w:w="0" w:type="dxa"/>
            <w:bottom w:w="0" w:type="dxa"/>
            <w:right w:w="0" w:type="dxa"/>
          </w:tblCellMar>
        </w:tblPrEx>
        <w:trPr>
          <w:trHeight w:val="354" w:hRule="atLeast"/>
          <w:jc w:val="center"/>
        </w:trPr>
        <w:tc>
          <w:tcPr>
            <w:tcW w:w="1290" w:type="dxa"/>
            <w:vMerge w:val="continue"/>
            <w:tcBorders>
              <w:tl2br w:val="nil"/>
              <w:tr2bl w:val="nil"/>
            </w:tcBorders>
            <w:shd w:val="clear" w:color="auto" w:fill="auto"/>
            <w:noWrap/>
            <w:tcMar>
              <w:top w:w="12" w:type="dxa"/>
              <w:left w:w="12" w:type="dxa"/>
              <w:right w:w="12" w:type="dxa"/>
            </w:tcMar>
            <w:vAlign w:val="center"/>
          </w:tcPr>
          <w:p>
            <w:pPr>
              <w:jc w:val="center"/>
              <w:rPr>
                <w:rFonts w:ascii="宋体" w:hAnsi="宋体" w:cs="宋体"/>
                <w:color w:val="000000"/>
                <w:kern w:val="0"/>
                <w:sz w:val="22"/>
                <w:lang w:bidi="ar"/>
              </w:rPr>
            </w:pPr>
          </w:p>
        </w:tc>
        <w:tc>
          <w:tcPr>
            <w:tcW w:w="1261" w:type="dxa"/>
            <w:vMerge w:val="continue"/>
            <w:tcBorders>
              <w:tl2br w:val="nil"/>
              <w:tr2bl w:val="nil"/>
            </w:tcBorders>
            <w:shd w:val="clear" w:color="auto" w:fill="auto"/>
            <w:noWrap/>
            <w:tcMar>
              <w:top w:w="12" w:type="dxa"/>
              <w:left w:w="12" w:type="dxa"/>
              <w:right w:w="12" w:type="dxa"/>
            </w:tcMar>
            <w:vAlign w:val="center"/>
          </w:tcPr>
          <w:p>
            <w:pPr>
              <w:jc w:val="center"/>
              <w:rPr>
                <w:rFonts w:ascii="宋体" w:hAnsi="宋体" w:cs="宋体"/>
                <w:color w:val="000000"/>
                <w:sz w:val="22"/>
              </w:rPr>
            </w:pPr>
          </w:p>
        </w:tc>
        <w:tc>
          <w:tcPr>
            <w:tcW w:w="6362" w:type="dxa"/>
            <w:tcBorders>
              <w:tl2br w:val="nil"/>
              <w:tr2bl w:val="nil"/>
            </w:tcBorders>
            <w:shd w:val="clear" w:color="auto" w:fill="auto"/>
            <w:noWrap/>
            <w:tcMar>
              <w:top w:w="12" w:type="dxa"/>
              <w:left w:w="12" w:type="dxa"/>
              <w:right w:w="12" w:type="dxa"/>
            </w:tcMar>
            <w:vAlign w:val="center"/>
          </w:tcPr>
          <w:p>
            <w:pPr>
              <w:jc w:val="left"/>
              <w:rPr>
                <w:rFonts w:ascii="宋体" w:hAnsi="宋体" w:cs="宋体"/>
                <w:color w:val="000000"/>
                <w:sz w:val="22"/>
              </w:rPr>
            </w:pPr>
            <w:r>
              <w:rPr>
                <w:rFonts w:hint="eastAsia" w:ascii="宋体" w:hAnsi="宋体" w:cs="宋体"/>
                <w:color w:val="000000"/>
                <w:sz w:val="22"/>
              </w:rPr>
              <w:t>《算法基础入门》：算法代表着用系统的方法描述解决问题的策略机制，本课程将带你一一探索枚举、二分、递归、深度优先搜索等经典算法。达到本门课程的要求，即意味者你具备了初步的算法基础和较强的编程实现能力。课程来源：南京嗖嗖课，讲师：张克：资深开发工程师，本硕毕业于南京大学。IT&amp;CT行业老鸟，先后工作于华为、14所等单位。涉猎知识广泛。。</w:t>
            </w:r>
          </w:p>
          <w:p>
            <w:pPr>
              <w:jc w:val="left"/>
              <w:rPr>
                <w:rFonts w:ascii="宋体" w:hAnsi="宋体" w:cs="宋体"/>
                <w:color w:val="000000"/>
                <w:sz w:val="22"/>
              </w:rPr>
            </w:pPr>
            <w:r>
              <w:rPr>
                <w:rFonts w:hint="eastAsia" w:ascii="宋体" w:hAnsi="宋体" w:cs="宋体"/>
                <w:color w:val="000000"/>
                <w:sz w:val="22"/>
              </w:rPr>
              <w:t xml:space="preserve">    </w:t>
            </w:r>
            <w:r>
              <w:rPr>
                <w:rFonts w:hint="eastAsia" w:ascii="宋体" w:hAnsi="宋体" w:cs="宋体"/>
                <w:color w:val="2F5597" w:themeColor="accent1" w:themeShade="BF"/>
                <w:sz w:val="22"/>
              </w:rPr>
              <w:t>课程分类：C++</w:t>
            </w:r>
          </w:p>
        </w:tc>
      </w:tr>
      <w:tr>
        <w:tblPrEx>
          <w:tblBorders>
            <w:top w:val="single" w:color="262626" w:themeColor="text1" w:themeTint="D8" w:sz="4" w:space="0"/>
            <w:left w:val="single" w:color="262626" w:themeColor="text1" w:themeTint="D8" w:sz="4" w:space="0"/>
            <w:bottom w:val="single" w:color="262626" w:themeColor="text1" w:themeTint="D8" w:sz="4" w:space="0"/>
            <w:right w:val="single" w:color="262626" w:themeColor="text1" w:themeTint="D8" w:sz="4" w:space="0"/>
            <w:insideH w:val="none" w:color="auto" w:sz="0" w:space="0"/>
            <w:insideV w:val="none" w:color="auto" w:sz="0" w:space="0"/>
          </w:tblBorders>
          <w:tblCellMar>
            <w:top w:w="0" w:type="dxa"/>
            <w:left w:w="0" w:type="dxa"/>
            <w:bottom w:w="0" w:type="dxa"/>
            <w:right w:w="0" w:type="dxa"/>
          </w:tblCellMar>
        </w:tblPrEx>
        <w:trPr>
          <w:trHeight w:val="354" w:hRule="atLeast"/>
          <w:jc w:val="center"/>
        </w:trPr>
        <w:tc>
          <w:tcPr>
            <w:tcW w:w="1290" w:type="dxa"/>
            <w:vMerge w:val="continue"/>
            <w:tcBorders>
              <w:tl2br w:val="nil"/>
              <w:tr2bl w:val="nil"/>
            </w:tcBorders>
            <w:shd w:val="clear" w:color="auto" w:fill="auto"/>
            <w:noWrap/>
            <w:tcMar>
              <w:top w:w="12" w:type="dxa"/>
              <w:left w:w="12" w:type="dxa"/>
              <w:right w:w="12" w:type="dxa"/>
            </w:tcMar>
            <w:vAlign w:val="center"/>
          </w:tcPr>
          <w:p>
            <w:pPr>
              <w:jc w:val="center"/>
              <w:rPr>
                <w:rFonts w:ascii="宋体" w:hAnsi="宋体" w:cs="宋体"/>
                <w:color w:val="000000"/>
                <w:sz w:val="22"/>
              </w:rPr>
            </w:pPr>
          </w:p>
        </w:tc>
        <w:tc>
          <w:tcPr>
            <w:tcW w:w="1261" w:type="dxa"/>
            <w:vMerge w:val="restart"/>
            <w:tcBorders>
              <w:tl2br w:val="nil"/>
              <w:tr2bl w:val="nil"/>
            </w:tcBorders>
            <w:shd w:val="clear" w:color="auto" w:fill="auto"/>
            <w:noWrap/>
            <w:tcMar>
              <w:top w:w="12" w:type="dxa"/>
              <w:left w:w="12" w:type="dxa"/>
              <w:right w:w="12" w:type="dxa"/>
            </w:tcMar>
            <w:vAlign w:val="center"/>
          </w:tcPr>
          <w:p>
            <w:pPr>
              <w:jc w:val="center"/>
              <w:rPr>
                <w:rFonts w:ascii="宋体" w:hAnsi="宋体" w:cs="宋体"/>
                <w:color w:val="000000"/>
                <w:sz w:val="22"/>
              </w:rPr>
            </w:pPr>
            <w:r>
              <w:rPr>
                <w:rFonts w:hint="eastAsia" w:ascii="宋体" w:hAnsi="宋体" w:cs="宋体"/>
                <w:color w:val="000000"/>
                <w:sz w:val="22"/>
              </w:rPr>
              <w:t>AI/数据科学</w:t>
            </w:r>
          </w:p>
        </w:tc>
        <w:tc>
          <w:tcPr>
            <w:tcW w:w="6362" w:type="dxa"/>
            <w:tcBorders>
              <w:tl2br w:val="nil"/>
              <w:tr2bl w:val="nil"/>
            </w:tcBorders>
            <w:shd w:val="clear" w:color="auto" w:fill="auto"/>
            <w:noWrap/>
            <w:tcMar>
              <w:top w:w="12" w:type="dxa"/>
              <w:left w:w="12" w:type="dxa"/>
              <w:right w:w="12" w:type="dxa"/>
            </w:tcMar>
            <w:vAlign w:val="center"/>
          </w:tcPr>
          <w:p>
            <w:pPr>
              <w:ind w:firstLine="440" w:firstLineChars="200"/>
              <w:jc w:val="left"/>
              <w:rPr>
                <w:rFonts w:ascii="宋体" w:hAnsi="宋体" w:cs="宋体"/>
                <w:color w:val="000000"/>
                <w:sz w:val="22"/>
              </w:rPr>
            </w:pPr>
            <w:r>
              <w:rPr>
                <w:rFonts w:hint="eastAsia" w:ascii="宋体" w:hAnsi="宋体" w:cs="宋体"/>
                <w:color w:val="000000"/>
                <w:sz w:val="22"/>
              </w:rPr>
              <w:t>《大数据研发 数据分析中必须的统计知识》：本课时介绍数据分析中重要的一些统计指标的定义、应用场景，以及一些重要的统计分析方法。课程来源：极客学院。</w:t>
            </w:r>
          </w:p>
          <w:p>
            <w:pPr>
              <w:jc w:val="left"/>
              <w:rPr>
                <w:rFonts w:ascii="宋体" w:hAnsi="宋体" w:cs="宋体"/>
                <w:color w:val="000000"/>
                <w:sz w:val="22"/>
              </w:rPr>
            </w:pPr>
            <w:r>
              <w:rPr>
                <w:rFonts w:hint="eastAsia" w:ascii="宋体" w:hAnsi="宋体" w:cs="宋体"/>
                <w:color w:val="000000"/>
                <w:sz w:val="22"/>
              </w:rPr>
              <w:t xml:space="preserve">    </w:t>
            </w:r>
            <w:r>
              <w:rPr>
                <w:rFonts w:hint="eastAsia" w:ascii="宋体" w:hAnsi="宋体" w:cs="宋体"/>
                <w:color w:val="2F5597" w:themeColor="accent1" w:themeShade="BF"/>
                <w:sz w:val="22"/>
              </w:rPr>
              <w:t>课程分类：大数据</w:t>
            </w:r>
          </w:p>
        </w:tc>
      </w:tr>
      <w:tr>
        <w:tblPrEx>
          <w:tblBorders>
            <w:top w:val="single" w:color="262626" w:themeColor="text1" w:themeTint="D8" w:sz="4" w:space="0"/>
            <w:left w:val="single" w:color="262626" w:themeColor="text1" w:themeTint="D8" w:sz="4" w:space="0"/>
            <w:bottom w:val="single" w:color="262626" w:themeColor="text1" w:themeTint="D8" w:sz="4" w:space="0"/>
            <w:right w:val="single" w:color="262626" w:themeColor="text1" w:themeTint="D8" w:sz="4" w:space="0"/>
            <w:insideH w:val="none" w:color="auto" w:sz="0" w:space="0"/>
            <w:insideV w:val="none" w:color="auto" w:sz="0" w:space="0"/>
          </w:tblBorders>
          <w:tblCellMar>
            <w:top w:w="0" w:type="dxa"/>
            <w:left w:w="0" w:type="dxa"/>
            <w:bottom w:w="0" w:type="dxa"/>
            <w:right w:w="0" w:type="dxa"/>
          </w:tblCellMar>
        </w:tblPrEx>
        <w:trPr>
          <w:trHeight w:val="354" w:hRule="atLeast"/>
          <w:jc w:val="center"/>
        </w:trPr>
        <w:tc>
          <w:tcPr>
            <w:tcW w:w="1290" w:type="dxa"/>
            <w:vMerge w:val="continue"/>
            <w:tcBorders>
              <w:tl2br w:val="nil"/>
              <w:tr2bl w:val="nil"/>
            </w:tcBorders>
            <w:shd w:val="clear" w:color="auto" w:fill="auto"/>
            <w:noWrap/>
            <w:tcMar>
              <w:top w:w="12" w:type="dxa"/>
              <w:left w:w="12" w:type="dxa"/>
              <w:right w:w="12" w:type="dxa"/>
            </w:tcMar>
            <w:vAlign w:val="center"/>
          </w:tcPr>
          <w:p>
            <w:pPr>
              <w:jc w:val="center"/>
              <w:rPr>
                <w:rFonts w:ascii="宋体" w:hAnsi="宋体" w:cs="宋体"/>
                <w:color w:val="000000"/>
                <w:sz w:val="22"/>
              </w:rPr>
            </w:pPr>
          </w:p>
        </w:tc>
        <w:tc>
          <w:tcPr>
            <w:tcW w:w="1261" w:type="dxa"/>
            <w:vMerge w:val="continue"/>
            <w:tcBorders>
              <w:tl2br w:val="nil"/>
              <w:tr2bl w:val="nil"/>
            </w:tcBorders>
            <w:shd w:val="clear" w:color="auto" w:fill="auto"/>
            <w:noWrap/>
            <w:tcMar>
              <w:top w:w="12" w:type="dxa"/>
              <w:left w:w="12" w:type="dxa"/>
              <w:right w:w="12" w:type="dxa"/>
            </w:tcMar>
            <w:vAlign w:val="center"/>
          </w:tcPr>
          <w:p>
            <w:pPr>
              <w:jc w:val="center"/>
              <w:rPr>
                <w:rFonts w:ascii="宋体" w:hAnsi="宋体" w:cs="宋体"/>
                <w:color w:val="000000"/>
                <w:sz w:val="22"/>
              </w:rPr>
            </w:pPr>
          </w:p>
        </w:tc>
        <w:tc>
          <w:tcPr>
            <w:tcW w:w="6362" w:type="dxa"/>
            <w:tcBorders>
              <w:tl2br w:val="nil"/>
              <w:tr2bl w:val="nil"/>
            </w:tcBorders>
            <w:shd w:val="clear" w:color="auto" w:fill="auto"/>
            <w:noWrap/>
            <w:tcMar>
              <w:top w:w="12" w:type="dxa"/>
              <w:left w:w="12" w:type="dxa"/>
              <w:right w:w="12" w:type="dxa"/>
            </w:tcMar>
            <w:vAlign w:val="center"/>
          </w:tcPr>
          <w:p>
            <w:pPr>
              <w:ind w:firstLine="440" w:firstLineChars="200"/>
              <w:jc w:val="left"/>
              <w:rPr>
                <w:rFonts w:ascii="宋体" w:hAnsi="宋体" w:cs="宋体"/>
                <w:color w:val="000000"/>
                <w:sz w:val="22"/>
              </w:rPr>
            </w:pPr>
            <w:r>
              <w:rPr>
                <w:rFonts w:hint="eastAsia" w:ascii="宋体" w:hAnsi="宋体" w:cs="宋体"/>
                <w:color w:val="000000"/>
                <w:sz w:val="22"/>
              </w:rPr>
              <w:t>《机器学习 神经网络与深度学习》：神经网络是一门重要的机器学习技术。它是目前最为火热的研究方向--深度学习的基础。学习神经网络不仅可以让你掌握一门强大的机器学习方法，同时也可以更好地帮助你理解深度学习技术。课程来源：极客学院。</w:t>
            </w:r>
          </w:p>
          <w:p>
            <w:pPr>
              <w:jc w:val="left"/>
              <w:rPr>
                <w:rFonts w:ascii="宋体" w:hAnsi="宋体" w:cs="宋体"/>
                <w:color w:val="000000"/>
                <w:sz w:val="22"/>
              </w:rPr>
            </w:pPr>
            <w:r>
              <w:rPr>
                <w:rFonts w:hint="eastAsia" w:ascii="宋体" w:hAnsi="宋体" w:cs="宋体"/>
                <w:color w:val="000000"/>
                <w:sz w:val="22"/>
              </w:rPr>
              <w:t xml:space="preserve">    </w:t>
            </w:r>
            <w:r>
              <w:rPr>
                <w:rFonts w:hint="eastAsia" w:ascii="宋体" w:hAnsi="宋体" w:cs="宋体"/>
                <w:color w:val="2F5597" w:themeColor="accent1" w:themeShade="BF"/>
                <w:sz w:val="22"/>
              </w:rPr>
              <w:t>课程分类：人工智能</w:t>
            </w:r>
          </w:p>
        </w:tc>
      </w:tr>
      <w:tr>
        <w:tblPrEx>
          <w:tblBorders>
            <w:top w:val="single" w:color="262626" w:themeColor="text1" w:themeTint="D8" w:sz="4" w:space="0"/>
            <w:left w:val="single" w:color="262626" w:themeColor="text1" w:themeTint="D8" w:sz="4" w:space="0"/>
            <w:bottom w:val="single" w:color="262626" w:themeColor="text1" w:themeTint="D8" w:sz="4" w:space="0"/>
            <w:right w:val="single" w:color="262626" w:themeColor="text1" w:themeTint="D8" w:sz="4" w:space="0"/>
            <w:insideH w:val="none" w:color="auto" w:sz="0" w:space="0"/>
            <w:insideV w:val="none" w:color="auto" w:sz="0" w:space="0"/>
          </w:tblBorders>
          <w:tblCellMar>
            <w:top w:w="0" w:type="dxa"/>
            <w:left w:w="0" w:type="dxa"/>
            <w:bottom w:w="0" w:type="dxa"/>
            <w:right w:w="0" w:type="dxa"/>
          </w:tblCellMar>
        </w:tblPrEx>
        <w:trPr>
          <w:trHeight w:val="354" w:hRule="atLeast"/>
          <w:jc w:val="center"/>
        </w:trPr>
        <w:tc>
          <w:tcPr>
            <w:tcW w:w="1290" w:type="dxa"/>
            <w:vMerge w:val="restart"/>
            <w:tcBorders>
              <w:tl2br w:val="nil"/>
              <w:tr2bl w:val="nil"/>
            </w:tcBorders>
            <w:shd w:val="clear" w:color="auto" w:fill="auto"/>
            <w:noWrap/>
            <w:tcMar>
              <w:top w:w="12" w:type="dxa"/>
              <w:left w:w="12" w:type="dxa"/>
              <w:right w:w="12" w:type="dxa"/>
            </w:tcMar>
            <w:vAlign w:val="center"/>
          </w:tcPr>
          <w:p>
            <w:pPr>
              <w:jc w:val="center"/>
              <w:rPr>
                <w:rFonts w:ascii="宋体" w:hAnsi="宋体" w:cs="宋体"/>
                <w:color w:val="000000"/>
                <w:kern w:val="0"/>
                <w:sz w:val="22"/>
                <w:lang w:bidi="ar"/>
              </w:rPr>
            </w:pPr>
            <w:r>
              <w:rPr>
                <w:rFonts w:hint="eastAsia" w:ascii="宋体" w:hAnsi="宋体" w:cs="宋体"/>
                <w:color w:val="000000"/>
                <w:kern w:val="0"/>
                <w:sz w:val="22"/>
                <w:lang w:bidi="ar"/>
              </w:rPr>
              <w:t>就业创业</w:t>
            </w:r>
          </w:p>
          <w:p>
            <w:pPr>
              <w:jc w:val="center"/>
              <w:rPr>
                <w:rFonts w:ascii="宋体" w:hAnsi="宋体" w:cs="宋体"/>
                <w:color w:val="000000"/>
                <w:kern w:val="0"/>
                <w:sz w:val="22"/>
                <w:lang w:bidi="ar"/>
              </w:rPr>
            </w:pPr>
            <w:r>
              <w:rPr>
                <w:rFonts w:hint="eastAsia" w:ascii="宋体" w:hAnsi="宋体" w:cs="宋体"/>
                <w:color w:val="000000"/>
                <w:kern w:val="0"/>
                <w:sz w:val="22"/>
                <w:lang w:bidi="ar"/>
              </w:rPr>
              <w:t>240篇</w:t>
            </w:r>
          </w:p>
          <w:p>
            <w:pPr>
              <w:jc w:val="center"/>
              <w:rPr>
                <w:rFonts w:ascii="宋体" w:hAnsi="宋体" w:cs="宋体"/>
                <w:color w:val="000000"/>
                <w:kern w:val="0"/>
                <w:sz w:val="22"/>
                <w:lang w:bidi="ar"/>
              </w:rPr>
            </w:pPr>
            <w:r>
              <w:rPr>
                <w:rFonts w:hint="eastAsia" w:ascii="宋体" w:hAnsi="宋体" w:cs="宋体"/>
                <w:color w:val="000000"/>
                <w:kern w:val="0"/>
                <w:sz w:val="22"/>
                <w:lang w:bidi="ar"/>
              </w:rPr>
              <w:t>占比：16.0%</w:t>
            </w:r>
          </w:p>
        </w:tc>
        <w:tc>
          <w:tcPr>
            <w:tcW w:w="1261" w:type="dxa"/>
            <w:tcBorders>
              <w:tl2br w:val="nil"/>
              <w:tr2bl w:val="nil"/>
            </w:tcBorders>
            <w:shd w:val="clear" w:color="auto" w:fill="auto"/>
            <w:noWrap/>
            <w:tcMar>
              <w:top w:w="12" w:type="dxa"/>
              <w:left w:w="12" w:type="dxa"/>
              <w:right w:w="12" w:type="dxa"/>
            </w:tcMar>
            <w:vAlign w:val="center"/>
          </w:tcPr>
          <w:p>
            <w:pPr>
              <w:jc w:val="center"/>
              <w:rPr>
                <w:rFonts w:ascii="宋体" w:hAnsi="宋体" w:cs="宋体"/>
                <w:color w:val="000000"/>
                <w:sz w:val="22"/>
              </w:rPr>
            </w:pPr>
            <w:r>
              <w:rPr>
                <w:rFonts w:hint="eastAsia" w:ascii="宋体" w:hAnsi="宋体" w:cs="宋体"/>
                <w:color w:val="000000"/>
                <w:sz w:val="22"/>
              </w:rPr>
              <w:t>岗位解析</w:t>
            </w:r>
          </w:p>
        </w:tc>
        <w:tc>
          <w:tcPr>
            <w:tcW w:w="6362" w:type="dxa"/>
            <w:tcBorders>
              <w:tl2br w:val="nil"/>
              <w:tr2bl w:val="nil"/>
            </w:tcBorders>
            <w:shd w:val="clear" w:color="auto" w:fill="auto"/>
            <w:noWrap/>
            <w:tcMar>
              <w:top w:w="12" w:type="dxa"/>
              <w:left w:w="12" w:type="dxa"/>
              <w:right w:w="12" w:type="dxa"/>
            </w:tcMar>
            <w:vAlign w:val="center"/>
          </w:tcPr>
          <w:p>
            <w:pPr>
              <w:ind w:firstLine="440" w:firstLineChars="200"/>
              <w:jc w:val="left"/>
              <w:rPr>
                <w:rFonts w:ascii="宋体" w:hAnsi="宋体" w:cs="宋体"/>
                <w:color w:val="000000"/>
                <w:sz w:val="22"/>
              </w:rPr>
            </w:pPr>
            <w:r>
              <w:rPr>
                <w:rFonts w:hint="eastAsia" w:ascii="宋体" w:hAnsi="宋体" w:cs="宋体"/>
                <w:color w:val="000000"/>
                <w:sz w:val="22"/>
              </w:rPr>
              <w:t>《基于业务价值链的人力资源管理》：本次课程张小波老师从常见的人力资源工作模式，企业的业务价值链，人力资源工作的业务价值，人力资源工作的正确方式四大层面出发，剖析基于价值输出的人力资源管理应当怎么做，帮助企业打造强健组织力，让人力资源工作真正服务于企业业务。课程来源：英盛网。</w:t>
            </w:r>
          </w:p>
          <w:p>
            <w:pPr>
              <w:jc w:val="left"/>
              <w:rPr>
                <w:rFonts w:ascii="宋体" w:hAnsi="宋体" w:cs="宋体"/>
                <w:color w:val="000000"/>
                <w:sz w:val="22"/>
              </w:rPr>
            </w:pPr>
            <w:r>
              <w:rPr>
                <w:rFonts w:hint="eastAsia" w:ascii="宋体" w:hAnsi="宋体" w:cs="宋体"/>
                <w:color w:val="000000"/>
                <w:sz w:val="22"/>
              </w:rPr>
              <w:t xml:space="preserve">    </w:t>
            </w:r>
            <w:r>
              <w:rPr>
                <w:rFonts w:hint="eastAsia" w:ascii="宋体" w:hAnsi="宋体" w:cs="宋体"/>
                <w:color w:val="2F5597" w:themeColor="accent1" w:themeShade="BF"/>
                <w:sz w:val="22"/>
              </w:rPr>
              <w:t>课程分类：人力资源类</w:t>
            </w:r>
          </w:p>
        </w:tc>
      </w:tr>
      <w:tr>
        <w:tblPrEx>
          <w:tblBorders>
            <w:top w:val="single" w:color="262626" w:themeColor="text1" w:themeTint="D8" w:sz="4" w:space="0"/>
            <w:left w:val="single" w:color="262626" w:themeColor="text1" w:themeTint="D8" w:sz="4" w:space="0"/>
            <w:bottom w:val="single" w:color="262626" w:themeColor="text1" w:themeTint="D8" w:sz="4" w:space="0"/>
            <w:right w:val="single" w:color="262626" w:themeColor="text1" w:themeTint="D8" w:sz="4" w:space="0"/>
            <w:insideH w:val="none" w:color="auto" w:sz="0" w:space="0"/>
            <w:insideV w:val="none" w:color="auto" w:sz="0" w:space="0"/>
          </w:tblBorders>
          <w:tblCellMar>
            <w:top w:w="0" w:type="dxa"/>
            <w:left w:w="0" w:type="dxa"/>
            <w:bottom w:w="0" w:type="dxa"/>
            <w:right w:w="0" w:type="dxa"/>
          </w:tblCellMar>
        </w:tblPrEx>
        <w:trPr>
          <w:trHeight w:val="354" w:hRule="atLeast"/>
          <w:jc w:val="center"/>
        </w:trPr>
        <w:tc>
          <w:tcPr>
            <w:tcW w:w="1290" w:type="dxa"/>
            <w:vMerge w:val="continue"/>
            <w:tcBorders>
              <w:tl2br w:val="nil"/>
              <w:tr2bl w:val="nil"/>
            </w:tcBorders>
            <w:shd w:val="clear" w:color="auto" w:fill="auto"/>
            <w:noWrap/>
            <w:tcMar>
              <w:top w:w="12" w:type="dxa"/>
              <w:left w:w="12" w:type="dxa"/>
              <w:right w:w="12" w:type="dxa"/>
            </w:tcMar>
            <w:vAlign w:val="center"/>
          </w:tcPr>
          <w:p>
            <w:pPr>
              <w:jc w:val="center"/>
              <w:rPr>
                <w:rFonts w:ascii="宋体" w:hAnsi="宋体" w:cs="宋体"/>
                <w:color w:val="000000"/>
                <w:sz w:val="22"/>
              </w:rPr>
            </w:pPr>
          </w:p>
        </w:tc>
        <w:tc>
          <w:tcPr>
            <w:tcW w:w="1261" w:type="dxa"/>
            <w:vMerge w:val="restart"/>
            <w:tcBorders>
              <w:tl2br w:val="nil"/>
              <w:tr2bl w:val="nil"/>
            </w:tcBorders>
            <w:shd w:val="clear" w:color="auto" w:fill="auto"/>
            <w:noWrap/>
            <w:tcMar>
              <w:top w:w="12" w:type="dxa"/>
              <w:left w:w="12" w:type="dxa"/>
              <w:right w:w="12" w:type="dxa"/>
            </w:tcMar>
            <w:vAlign w:val="center"/>
          </w:tcPr>
          <w:p>
            <w:pPr>
              <w:jc w:val="center"/>
              <w:rPr>
                <w:rFonts w:ascii="宋体" w:hAnsi="宋体" w:cs="宋体"/>
                <w:color w:val="000000"/>
                <w:sz w:val="22"/>
              </w:rPr>
            </w:pPr>
            <w:r>
              <w:rPr>
                <w:rFonts w:ascii="Arial" w:hAnsi="Arial" w:cs="Arial"/>
                <w:color w:val="000000"/>
                <w:kern w:val="0"/>
                <w:sz w:val="20"/>
                <w:szCs w:val="20"/>
                <w:lang w:bidi="ar"/>
              </w:rPr>
              <w:t>职场提升</w:t>
            </w:r>
          </w:p>
        </w:tc>
        <w:tc>
          <w:tcPr>
            <w:tcW w:w="6362" w:type="dxa"/>
            <w:tcBorders>
              <w:tl2br w:val="nil"/>
              <w:tr2bl w:val="nil"/>
            </w:tcBorders>
            <w:shd w:val="clear" w:color="auto" w:fill="auto"/>
            <w:noWrap/>
            <w:tcMar>
              <w:top w:w="12" w:type="dxa"/>
              <w:left w:w="12" w:type="dxa"/>
              <w:right w:w="12" w:type="dxa"/>
            </w:tcMar>
            <w:vAlign w:val="center"/>
          </w:tcPr>
          <w:p>
            <w:pPr>
              <w:ind w:firstLine="440" w:firstLineChars="200"/>
              <w:jc w:val="left"/>
              <w:rPr>
                <w:rFonts w:ascii="宋体" w:hAnsi="宋体" w:cs="宋体"/>
                <w:color w:val="000000"/>
                <w:sz w:val="22"/>
              </w:rPr>
            </w:pPr>
            <w:r>
              <w:rPr>
                <w:rFonts w:hint="eastAsia" w:ascii="宋体" w:hAnsi="宋体" w:cs="宋体"/>
                <w:color w:val="000000"/>
                <w:sz w:val="22"/>
              </w:rPr>
              <w:t>《文案高手的五大工具》：本课程分享了文案高手的五个独门“法宝”，重点分享“四位”任务定义法、“全场景”人群分层法、策略&amp;创意简报以及“全案行程”架构图五大工具，并通过全案拆解，颠覆你的文案创作新思维，实现洞察用户需求的目标。课程来源：英盛网。</w:t>
            </w:r>
          </w:p>
          <w:p>
            <w:pPr>
              <w:ind w:firstLine="440" w:firstLineChars="200"/>
              <w:jc w:val="left"/>
              <w:rPr>
                <w:rFonts w:ascii="宋体" w:hAnsi="宋体" w:cs="宋体"/>
                <w:color w:val="000000"/>
                <w:sz w:val="22"/>
              </w:rPr>
            </w:pPr>
            <w:r>
              <w:rPr>
                <w:rFonts w:hint="eastAsia" w:ascii="宋体" w:hAnsi="宋体" w:cs="宋体"/>
                <w:color w:val="2F5597" w:themeColor="accent1" w:themeShade="BF"/>
                <w:sz w:val="22"/>
              </w:rPr>
              <w:t>课程分类：业内解析</w:t>
            </w:r>
          </w:p>
        </w:tc>
      </w:tr>
      <w:tr>
        <w:tblPrEx>
          <w:tblBorders>
            <w:top w:val="single" w:color="262626" w:themeColor="text1" w:themeTint="D8" w:sz="4" w:space="0"/>
            <w:left w:val="single" w:color="262626" w:themeColor="text1" w:themeTint="D8" w:sz="4" w:space="0"/>
            <w:bottom w:val="single" w:color="262626" w:themeColor="text1" w:themeTint="D8" w:sz="4" w:space="0"/>
            <w:right w:val="single" w:color="262626" w:themeColor="text1" w:themeTint="D8" w:sz="4" w:space="0"/>
            <w:insideH w:val="none" w:color="auto" w:sz="0" w:space="0"/>
            <w:insideV w:val="none" w:color="auto" w:sz="0" w:space="0"/>
          </w:tblBorders>
          <w:tblCellMar>
            <w:top w:w="0" w:type="dxa"/>
            <w:left w:w="0" w:type="dxa"/>
            <w:bottom w:w="0" w:type="dxa"/>
            <w:right w:w="0" w:type="dxa"/>
          </w:tblCellMar>
        </w:tblPrEx>
        <w:trPr>
          <w:trHeight w:val="354" w:hRule="atLeast"/>
          <w:jc w:val="center"/>
        </w:trPr>
        <w:tc>
          <w:tcPr>
            <w:tcW w:w="1290" w:type="dxa"/>
            <w:vMerge w:val="continue"/>
            <w:tcBorders>
              <w:tl2br w:val="nil"/>
              <w:tr2bl w:val="nil"/>
            </w:tcBorders>
            <w:shd w:val="clear" w:color="auto" w:fill="auto"/>
            <w:noWrap/>
            <w:tcMar>
              <w:top w:w="12" w:type="dxa"/>
              <w:left w:w="12" w:type="dxa"/>
              <w:right w:w="12" w:type="dxa"/>
            </w:tcMar>
            <w:vAlign w:val="center"/>
          </w:tcPr>
          <w:p>
            <w:pPr>
              <w:jc w:val="center"/>
              <w:rPr>
                <w:rFonts w:ascii="宋体" w:hAnsi="宋体" w:cs="宋体"/>
                <w:color w:val="000000"/>
                <w:sz w:val="22"/>
              </w:rPr>
            </w:pPr>
          </w:p>
        </w:tc>
        <w:tc>
          <w:tcPr>
            <w:tcW w:w="1261" w:type="dxa"/>
            <w:vMerge w:val="continue"/>
            <w:tcBorders>
              <w:tl2br w:val="nil"/>
              <w:tr2bl w:val="nil"/>
            </w:tcBorders>
            <w:shd w:val="clear" w:color="auto" w:fill="auto"/>
            <w:noWrap/>
            <w:tcMar>
              <w:top w:w="12" w:type="dxa"/>
              <w:left w:w="12" w:type="dxa"/>
              <w:right w:w="12" w:type="dxa"/>
            </w:tcMar>
            <w:vAlign w:val="center"/>
          </w:tcPr>
          <w:p>
            <w:pPr>
              <w:jc w:val="center"/>
              <w:rPr>
                <w:rFonts w:ascii="Arial" w:hAnsi="Arial" w:cs="Arial"/>
                <w:color w:val="000000"/>
                <w:kern w:val="0"/>
                <w:sz w:val="20"/>
                <w:szCs w:val="20"/>
                <w:lang w:bidi="ar"/>
              </w:rPr>
            </w:pPr>
          </w:p>
        </w:tc>
        <w:tc>
          <w:tcPr>
            <w:tcW w:w="6362" w:type="dxa"/>
            <w:tcBorders>
              <w:tl2br w:val="nil"/>
              <w:tr2bl w:val="nil"/>
            </w:tcBorders>
            <w:shd w:val="clear" w:color="auto" w:fill="auto"/>
            <w:noWrap/>
            <w:tcMar>
              <w:top w:w="12" w:type="dxa"/>
              <w:left w:w="12" w:type="dxa"/>
              <w:right w:w="12" w:type="dxa"/>
            </w:tcMar>
            <w:vAlign w:val="center"/>
          </w:tcPr>
          <w:p>
            <w:pPr>
              <w:ind w:firstLine="440" w:firstLineChars="200"/>
              <w:jc w:val="left"/>
              <w:rPr>
                <w:rFonts w:ascii="宋体" w:hAnsi="宋体" w:cs="宋体"/>
                <w:color w:val="000000"/>
                <w:sz w:val="22"/>
              </w:rPr>
            </w:pPr>
            <w:r>
              <w:rPr>
                <w:rFonts w:hint="eastAsia" w:ascii="宋体" w:hAnsi="宋体" w:cs="宋体"/>
                <w:color w:val="000000"/>
                <w:sz w:val="22"/>
              </w:rPr>
              <w:t>《跨部门沟通与协作》：公司跨部门工作有时会出现鸡同鸭讲，沟而不通，导致合作失败的局面。本课程将针对跨部门沟而不通的原因进行剖析，分享跨部门沟通的技巧，保障跨部门沟通到位，建立内部客户服务意识，化冲突为双赢。课程来源：英盛网。</w:t>
            </w:r>
          </w:p>
          <w:p>
            <w:pPr>
              <w:ind w:firstLine="440" w:firstLineChars="200"/>
              <w:jc w:val="left"/>
              <w:rPr>
                <w:rFonts w:ascii="宋体" w:hAnsi="宋体" w:cs="宋体"/>
                <w:color w:val="000000"/>
                <w:sz w:val="22"/>
              </w:rPr>
            </w:pPr>
            <w:r>
              <w:rPr>
                <w:rFonts w:hint="eastAsia" w:ascii="宋体" w:hAnsi="宋体" w:cs="宋体"/>
                <w:color w:val="2F5597" w:themeColor="accent1" w:themeShade="BF"/>
                <w:sz w:val="22"/>
              </w:rPr>
              <w:t>课程分类：业内解析</w:t>
            </w:r>
          </w:p>
        </w:tc>
      </w:tr>
      <w:tr>
        <w:tblPrEx>
          <w:tblBorders>
            <w:top w:val="single" w:color="262626" w:themeColor="text1" w:themeTint="D8" w:sz="4" w:space="0"/>
            <w:left w:val="single" w:color="262626" w:themeColor="text1" w:themeTint="D8" w:sz="4" w:space="0"/>
            <w:bottom w:val="single" w:color="262626" w:themeColor="text1" w:themeTint="D8" w:sz="4" w:space="0"/>
            <w:right w:val="single" w:color="262626" w:themeColor="text1" w:themeTint="D8" w:sz="4" w:space="0"/>
            <w:insideH w:val="none" w:color="auto" w:sz="0" w:space="0"/>
            <w:insideV w:val="none" w:color="auto" w:sz="0" w:space="0"/>
          </w:tblBorders>
          <w:tblCellMar>
            <w:top w:w="0" w:type="dxa"/>
            <w:left w:w="0" w:type="dxa"/>
            <w:bottom w:w="0" w:type="dxa"/>
            <w:right w:w="0" w:type="dxa"/>
          </w:tblCellMar>
        </w:tblPrEx>
        <w:trPr>
          <w:trHeight w:val="354" w:hRule="atLeast"/>
          <w:jc w:val="center"/>
        </w:trPr>
        <w:tc>
          <w:tcPr>
            <w:tcW w:w="1290" w:type="dxa"/>
            <w:vMerge w:val="continue"/>
            <w:tcBorders>
              <w:tl2br w:val="nil"/>
              <w:tr2bl w:val="nil"/>
            </w:tcBorders>
            <w:shd w:val="clear" w:color="auto" w:fill="auto"/>
            <w:noWrap/>
            <w:tcMar>
              <w:top w:w="12" w:type="dxa"/>
              <w:left w:w="12" w:type="dxa"/>
              <w:right w:w="12" w:type="dxa"/>
            </w:tcMar>
            <w:vAlign w:val="center"/>
          </w:tcPr>
          <w:p>
            <w:pPr>
              <w:jc w:val="center"/>
              <w:rPr>
                <w:rFonts w:ascii="宋体" w:hAnsi="宋体" w:cs="宋体"/>
                <w:color w:val="000000"/>
                <w:sz w:val="22"/>
              </w:rPr>
            </w:pPr>
          </w:p>
        </w:tc>
        <w:tc>
          <w:tcPr>
            <w:tcW w:w="1261" w:type="dxa"/>
            <w:vMerge w:val="continue"/>
            <w:tcBorders>
              <w:tl2br w:val="nil"/>
              <w:tr2bl w:val="nil"/>
            </w:tcBorders>
            <w:shd w:val="clear" w:color="auto" w:fill="auto"/>
            <w:noWrap/>
            <w:tcMar>
              <w:top w:w="12" w:type="dxa"/>
              <w:left w:w="12" w:type="dxa"/>
              <w:right w:w="12" w:type="dxa"/>
            </w:tcMar>
            <w:vAlign w:val="center"/>
          </w:tcPr>
          <w:p>
            <w:pPr>
              <w:jc w:val="center"/>
              <w:rPr>
                <w:rFonts w:ascii="Arial" w:hAnsi="Arial" w:cs="Arial"/>
                <w:color w:val="000000"/>
                <w:kern w:val="0"/>
                <w:sz w:val="20"/>
                <w:szCs w:val="20"/>
                <w:lang w:bidi="ar"/>
              </w:rPr>
            </w:pPr>
          </w:p>
        </w:tc>
        <w:tc>
          <w:tcPr>
            <w:tcW w:w="6362" w:type="dxa"/>
            <w:tcBorders>
              <w:tl2br w:val="nil"/>
              <w:tr2bl w:val="nil"/>
            </w:tcBorders>
            <w:shd w:val="clear" w:color="auto" w:fill="auto"/>
            <w:noWrap/>
            <w:tcMar>
              <w:top w:w="12" w:type="dxa"/>
              <w:left w:w="12" w:type="dxa"/>
              <w:right w:w="12" w:type="dxa"/>
            </w:tcMar>
            <w:vAlign w:val="center"/>
          </w:tcPr>
          <w:p>
            <w:pPr>
              <w:ind w:firstLine="440" w:firstLineChars="200"/>
              <w:jc w:val="left"/>
              <w:rPr>
                <w:rFonts w:ascii="宋体" w:hAnsi="宋体" w:cs="宋体"/>
                <w:color w:val="000000"/>
                <w:sz w:val="22"/>
              </w:rPr>
            </w:pPr>
            <w:r>
              <w:rPr>
                <w:rFonts w:hint="eastAsia" w:ascii="宋体" w:hAnsi="宋体" w:cs="宋体"/>
                <w:color w:val="000000"/>
                <w:sz w:val="22"/>
              </w:rPr>
              <w:t>《社群成交倍增》：本课程分享了社群成交话术的编写技巧，解析圈、群、号、店的作用与成交秘诀，实现应用话术快速点燃购买欲望的目的。最后分享了社群好友裂变的方法技巧，分别阐述了从群、圈、号三个不同角度进行涨粉的策略，引导运营人员策划行之有效的活动方案，让客户流量源源不断。课程来源：英盛网。</w:t>
            </w:r>
          </w:p>
          <w:p>
            <w:pPr>
              <w:ind w:firstLine="440" w:firstLineChars="200"/>
              <w:jc w:val="left"/>
              <w:rPr>
                <w:rFonts w:ascii="宋体" w:hAnsi="宋体" w:cs="宋体"/>
                <w:color w:val="000000"/>
                <w:sz w:val="22"/>
              </w:rPr>
            </w:pPr>
            <w:r>
              <w:rPr>
                <w:rFonts w:hint="eastAsia" w:ascii="宋体" w:hAnsi="宋体" w:cs="宋体"/>
                <w:color w:val="2F5597" w:themeColor="accent1" w:themeShade="BF"/>
                <w:sz w:val="22"/>
              </w:rPr>
              <w:t>课程分类：业内解析</w:t>
            </w:r>
          </w:p>
        </w:tc>
      </w:tr>
      <w:tr>
        <w:tblPrEx>
          <w:tblBorders>
            <w:top w:val="single" w:color="262626" w:themeColor="text1" w:themeTint="D8" w:sz="4" w:space="0"/>
            <w:left w:val="single" w:color="262626" w:themeColor="text1" w:themeTint="D8" w:sz="4" w:space="0"/>
            <w:bottom w:val="single" w:color="262626" w:themeColor="text1" w:themeTint="D8" w:sz="4" w:space="0"/>
            <w:right w:val="single" w:color="262626" w:themeColor="text1" w:themeTint="D8" w:sz="4" w:space="0"/>
            <w:insideH w:val="none" w:color="auto" w:sz="0" w:space="0"/>
            <w:insideV w:val="none" w:color="auto" w:sz="0" w:space="0"/>
          </w:tblBorders>
          <w:tblCellMar>
            <w:top w:w="0" w:type="dxa"/>
            <w:left w:w="0" w:type="dxa"/>
            <w:bottom w:w="0" w:type="dxa"/>
            <w:right w:w="0" w:type="dxa"/>
          </w:tblCellMar>
        </w:tblPrEx>
        <w:trPr>
          <w:trHeight w:val="354" w:hRule="atLeast"/>
          <w:jc w:val="center"/>
        </w:trPr>
        <w:tc>
          <w:tcPr>
            <w:tcW w:w="1290" w:type="dxa"/>
            <w:vMerge w:val="continue"/>
            <w:tcBorders>
              <w:tl2br w:val="nil"/>
              <w:tr2bl w:val="nil"/>
            </w:tcBorders>
            <w:shd w:val="clear" w:color="auto" w:fill="auto"/>
            <w:noWrap/>
            <w:tcMar>
              <w:top w:w="12" w:type="dxa"/>
              <w:left w:w="12" w:type="dxa"/>
              <w:right w:w="12" w:type="dxa"/>
            </w:tcMar>
            <w:vAlign w:val="center"/>
          </w:tcPr>
          <w:p>
            <w:pPr>
              <w:jc w:val="center"/>
              <w:rPr>
                <w:rFonts w:ascii="宋体" w:hAnsi="宋体" w:cs="宋体"/>
                <w:color w:val="000000"/>
                <w:sz w:val="22"/>
              </w:rPr>
            </w:pPr>
          </w:p>
        </w:tc>
        <w:tc>
          <w:tcPr>
            <w:tcW w:w="1261" w:type="dxa"/>
            <w:vMerge w:val="restart"/>
            <w:tcBorders>
              <w:tl2br w:val="nil"/>
              <w:tr2bl w:val="nil"/>
            </w:tcBorders>
            <w:shd w:val="clear" w:color="auto" w:fill="auto"/>
            <w:noWrap/>
            <w:tcMar>
              <w:top w:w="12" w:type="dxa"/>
              <w:left w:w="12" w:type="dxa"/>
              <w:right w:w="12" w:type="dxa"/>
            </w:tcMar>
            <w:vAlign w:val="center"/>
          </w:tcPr>
          <w:p>
            <w:pPr>
              <w:jc w:val="center"/>
              <w:rPr>
                <w:rFonts w:ascii="宋体" w:hAnsi="宋体" w:cs="宋体"/>
                <w:color w:val="000000"/>
                <w:sz w:val="22"/>
              </w:rPr>
            </w:pPr>
            <w:r>
              <w:rPr>
                <w:rFonts w:ascii="Arial" w:hAnsi="Arial" w:cs="Arial"/>
                <w:color w:val="000000"/>
                <w:kern w:val="0"/>
                <w:sz w:val="20"/>
                <w:szCs w:val="20"/>
                <w:lang w:bidi="ar"/>
              </w:rPr>
              <w:t>求职就业</w:t>
            </w:r>
          </w:p>
        </w:tc>
        <w:tc>
          <w:tcPr>
            <w:tcW w:w="6362" w:type="dxa"/>
            <w:tcBorders>
              <w:tl2br w:val="nil"/>
              <w:tr2bl w:val="nil"/>
            </w:tcBorders>
            <w:shd w:val="clear" w:color="auto" w:fill="auto"/>
            <w:noWrap/>
            <w:tcMar>
              <w:top w:w="12" w:type="dxa"/>
              <w:left w:w="12" w:type="dxa"/>
              <w:right w:w="12" w:type="dxa"/>
            </w:tcMar>
            <w:vAlign w:val="center"/>
          </w:tcPr>
          <w:p>
            <w:pPr>
              <w:ind w:firstLine="440" w:firstLineChars="200"/>
              <w:jc w:val="left"/>
              <w:rPr>
                <w:rFonts w:ascii="宋体" w:hAnsi="宋体" w:cs="宋体"/>
                <w:color w:val="000000"/>
                <w:sz w:val="22"/>
              </w:rPr>
            </w:pPr>
            <w:r>
              <w:rPr>
                <w:rFonts w:hint="eastAsia" w:ascii="宋体" w:hAnsi="宋体" w:cs="宋体"/>
                <w:color w:val="000000"/>
                <w:sz w:val="22"/>
              </w:rPr>
              <w:t>《华为校招 天道酬勤—高手中的C位出道》：当年来华为面试前，本人收集了所有和行业、公司以及想应聘的职位的相关资料，做到内心有底的同时也能更好地梳理自己对这份工作的想法，面试时对面试官的问题可以比较从容地回答。课程来源：英盛网。</w:t>
            </w:r>
          </w:p>
          <w:p>
            <w:pPr>
              <w:ind w:firstLine="440" w:firstLineChars="200"/>
              <w:jc w:val="left"/>
              <w:rPr>
                <w:rFonts w:ascii="宋体" w:hAnsi="宋体" w:cs="宋体"/>
                <w:color w:val="000000"/>
                <w:sz w:val="22"/>
              </w:rPr>
            </w:pPr>
            <w:r>
              <w:rPr>
                <w:rFonts w:hint="eastAsia" w:ascii="宋体" w:hAnsi="宋体" w:cs="宋体"/>
                <w:color w:val="2F5597" w:themeColor="accent1" w:themeShade="BF"/>
                <w:sz w:val="22"/>
              </w:rPr>
              <w:t>课程分类：求知问道</w:t>
            </w:r>
          </w:p>
        </w:tc>
      </w:tr>
      <w:tr>
        <w:tblPrEx>
          <w:tblBorders>
            <w:top w:val="single" w:color="262626" w:themeColor="text1" w:themeTint="D8" w:sz="4" w:space="0"/>
            <w:left w:val="single" w:color="262626" w:themeColor="text1" w:themeTint="D8" w:sz="4" w:space="0"/>
            <w:bottom w:val="single" w:color="262626" w:themeColor="text1" w:themeTint="D8" w:sz="4" w:space="0"/>
            <w:right w:val="single" w:color="262626" w:themeColor="text1" w:themeTint="D8" w:sz="4" w:space="0"/>
            <w:insideH w:val="none" w:color="auto" w:sz="0" w:space="0"/>
            <w:insideV w:val="none" w:color="auto" w:sz="0" w:space="0"/>
          </w:tblBorders>
          <w:tblCellMar>
            <w:top w:w="0" w:type="dxa"/>
            <w:left w:w="0" w:type="dxa"/>
            <w:bottom w:w="0" w:type="dxa"/>
            <w:right w:w="0" w:type="dxa"/>
          </w:tblCellMar>
        </w:tblPrEx>
        <w:trPr>
          <w:trHeight w:val="354" w:hRule="atLeast"/>
          <w:jc w:val="center"/>
        </w:trPr>
        <w:tc>
          <w:tcPr>
            <w:tcW w:w="1290" w:type="dxa"/>
            <w:vMerge w:val="continue"/>
            <w:tcBorders>
              <w:tl2br w:val="nil"/>
              <w:tr2bl w:val="nil"/>
            </w:tcBorders>
            <w:shd w:val="clear" w:color="auto" w:fill="auto"/>
            <w:noWrap/>
            <w:tcMar>
              <w:top w:w="12" w:type="dxa"/>
              <w:left w:w="12" w:type="dxa"/>
              <w:right w:w="12" w:type="dxa"/>
            </w:tcMar>
            <w:vAlign w:val="center"/>
          </w:tcPr>
          <w:p>
            <w:pPr>
              <w:jc w:val="center"/>
              <w:rPr>
                <w:rFonts w:ascii="宋体" w:hAnsi="宋体" w:cs="宋体"/>
                <w:color w:val="000000"/>
                <w:sz w:val="22"/>
              </w:rPr>
            </w:pPr>
          </w:p>
        </w:tc>
        <w:tc>
          <w:tcPr>
            <w:tcW w:w="1261" w:type="dxa"/>
            <w:vMerge w:val="continue"/>
            <w:tcBorders>
              <w:tl2br w:val="nil"/>
              <w:tr2bl w:val="nil"/>
            </w:tcBorders>
            <w:shd w:val="clear" w:color="auto" w:fill="auto"/>
            <w:noWrap/>
            <w:tcMar>
              <w:top w:w="12" w:type="dxa"/>
              <w:left w:w="12" w:type="dxa"/>
              <w:right w:w="12" w:type="dxa"/>
            </w:tcMar>
            <w:vAlign w:val="center"/>
          </w:tcPr>
          <w:p>
            <w:pPr>
              <w:jc w:val="center"/>
              <w:rPr>
                <w:rFonts w:ascii="Arial" w:hAnsi="Arial" w:cs="Arial"/>
                <w:color w:val="000000"/>
                <w:kern w:val="0"/>
                <w:sz w:val="20"/>
                <w:szCs w:val="20"/>
                <w:lang w:bidi="ar"/>
              </w:rPr>
            </w:pPr>
          </w:p>
        </w:tc>
        <w:tc>
          <w:tcPr>
            <w:tcW w:w="6362" w:type="dxa"/>
            <w:tcBorders>
              <w:tl2br w:val="nil"/>
              <w:tr2bl w:val="nil"/>
            </w:tcBorders>
            <w:shd w:val="clear" w:color="auto" w:fill="auto"/>
            <w:noWrap/>
            <w:tcMar>
              <w:top w:w="12" w:type="dxa"/>
              <w:left w:w="12" w:type="dxa"/>
              <w:right w:w="12" w:type="dxa"/>
            </w:tcMar>
            <w:vAlign w:val="center"/>
          </w:tcPr>
          <w:p>
            <w:pPr>
              <w:ind w:firstLine="440" w:firstLineChars="200"/>
              <w:jc w:val="left"/>
              <w:rPr>
                <w:rFonts w:ascii="宋体" w:hAnsi="宋体" w:cs="宋体"/>
                <w:color w:val="000000"/>
                <w:sz w:val="22"/>
              </w:rPr>
            </w:pPr>
            <w:r>
              <w:rPr>
                <w:rFonts w:hint="eastAsia" w:ascii="宋体" w:hAnsi="宋体" w:cs="宋体"/>
                <w:color w:val="000000"/>
                <w:sz w:val="22"/>
              </w:rPr>
              <w:t>《从0到1 求职思维的突破》：本课程是以大学生为对象的求职参考，内容包括你到底需要一份什么样的工作，在求职季你该如何准备，从HR的角度谈简历制作，如何回答网申开放性问题，如何在群面中脱颖而出，如何通过情景构建应对面试问题，求学、求职、跳槽、转行的艰难抉择等。课程来源：南京嗖嗖课，讲师：小风嗖嗖的，嗖嗖课的创始人。2005年作为“准学渣”进入北京大学攻读微电子硕士研究生。同年在中关村图书大厦买了本刚出版的《北大毕业生如何求职》，主编曾翔进入世界顶尖咨询公司Monitor Group工作。</w:t>
            </w:r>
          </w:p>
          <w:p>
            <w:pPr>
              <w:ind w:firstLine="440" w:firstLineChars="200"/>
              <w:jc w:val="left"/>
              <w:rPr>
                <w:rFonts w:ascii="宋体" w:hAnsi="宋体" w:cs="宋体"/>
                <w:color w:val="000000"/>
                <w:sz w:val="22"/>
              </w:rPr>
            </w:pPr>
            <w:r>
              <w:rPr>
                <w:rFonts w:hint="eastAsia" w:ascii="宋体" w:hAnsi="宋体" w:cs="宋体"/>
                <w:color w:val="2F5597" w:themeColor="accent1" w:themeShade="BF"/>
                <w:sz w:val="22"/>
              </w:rPr>
              <w:t>课程分类：求知问道</w:t>
            </w:r>
          </w:p>
        </w:tc>
      </w:tr>
      <w:tr>
        <w:tblPrEx>
          <w:tblBorders>
            <w:top w:val="single" w:color="262626" w:themeColor="text1" w:themeTint="D8" w:sz="4" w:space="0"/>
            <w:left w:val="single" w:color="262626" w:themeColor="text1" w:themeTint="D8" w:sz="4" w:space="0"/>
            <w:bottom w:val="single" w:color="262626" w:themeColor="text1" w:themeTint="D8" w:sz="4" w:space="0"/>
            <w:right w:val="single" w:color="262626" w:themeColor="text1" w:themeTint="D8" w:sz="4" w:space="0"/>
            <w:insideH w:val="none" w:color="auto" w:sz="0" w:space="0"/>
            <w:insideV w:val="none" w:color="auto" w:sz="0" w:space="0"/>
          </w:tblBorders>
          <w:tblCellMar>
            <w:top w:w="0" w:type="dxa"/>
            <w:left w:w="0" w:type="dxa"/>
            <w:bottom w:w="0" w:type="dxa"/>
            <w:right w:w="0" w:type="dxa"/>
          </w:tblCellMar>
        </w:tblPrEx>
        <w:trPr>
          <w:trHeight w:val="354" w:hRule="atLeast"/>
          <w:jc w:val="center"/>
        </w:trPr>
        <w:tc>
          <w:tcPr>
            <w:tcW w:w="1290" w:type="dxa"/>
            <w:vMerge w:val="restart"/>
            <w:tcBorders>
              <w:tl2br w:val="nil"/>
              <w:tr2bl w:val="nil"/>
            </w:tcBorders>
            <w:shd w:val="clear" w:color="auto" w:fill="auto"/>
            <w:noWrap/>
            <w:tcMar>
              <w:top w:w="12" w:type="dxa"/>
              <w:left w:w="12" w:type="dxa"/>
              <w:right w:w="12" w:type="dxa"/>
            </w:tcMar>
            <w:vAlign w:val="center"/>
          </w:tcPr>
          <w:p>
            <w:pPr>
              <w:jc w:val="center"/>
              <w:rPr>
                <w:rFonts w:ascii="宋体" w:hAnsi="宋体" w:cs="宋体"/>
                <w:color w:val="000000"/>
                <w:sz w:val="22"/>
              </w:rPr>
            </w:pPr>
            <w:r>
              <w:rPr>
                <w:rFonts w:hint="eastAsia" w:ascii="宋体" w:hAnsi="宋体" w:cs="宋体"/>
                <w:color w:val="000000"/>
                <w:sz w:val="22"/>
              </w:rPr>
              <w:t>考研升学</w:t>
            </w:r>
          </w:p>
          <w:p>
            <w:pPr>
              <w:jc w:val="center"/>
              <w:rPr>
                <w:rFonts w:ascii="宋体" w:hAnsi="宋体" w:cs="宋体"/>
                <w:color w:val="000000"/>
                <w:sz w:val="22"/>
              </w:rPr>
            </w:pPr>
            <w:r>
              <w:rPr>
                <w:rFonts w:hint="eastAsia" w:ascii="宋体" w:hAnsi="宋体" w:cs="宋体"/>
                <w:color w:val="000000"/>
                <w:sz w:val="22"/>
              </w:rPr>
              <w:t>331篇</w:t>
            </w:r>
          </w:p>
          <w:p>
            <w:pPr>
              <w:jc w:val="center"/>
              <w:rPr>
                <w:rFonts w:ascii="宋体" w:hAnsi="宋体" w:cs="宋体"/>
                <w:color w:val="000000"/>
                <w:sz w:val="22"/>
              </w:rPr>
            </w:pPr>
            <w:r>
              <w:rPr>
                <w:rFonts w:hint="eastAsia" w:ascii="宋体" w:hAnsi="宋体" w:cs="宋体"/>
                <w:color w:val="000000"/>
                <w:sz w:val="22"/>
              </w:rPr>
              <w:t>占比：221.%</w:t>
            </w:r>
          </w:p>
        </w:tc>
        <w:tc>
          <w:tcPr>
            <w:tcW w:w="1261" w:type="dxa"/>
            <w:vMerge w:val="restart"/>
            <w:tcBorders>
              <w:tl2br w:val="nil"/>
              <w:tr2bl w:val="nil"/>
            </w:tcBorders>
            <w:shd w:val="clear" w:color="auto" w:fill="auto"/>
            <w:noWrap/>
            <w:tcMar>
              <w:top w:w="12" w:type="dxa"/>
              <w:left w:w="12" w:type="dxa"/>
              <w:right w:w="12" w:type="dxa"/>
            </w:tcMar>
            <w:vAlign w:val="center"/>
          </w:tcPr>
          <w:p>
            <w:pPr>
              <w:jc w:val="center"/>
              <w:rPr>
                <w:rFonts w:ascii="宋体" w:hAnsi="宋体" w:cs="宋体"/>
                <w:color w:val="000000"/>
                <w:sz w:val="22"/>
              </w:rPr>
            </w:pPr>
            <w:r>
              <w:rPr>
                <w:rFonts w:hint="eastAsia" w:ascii="宋体" w:hAnsi="宋体" w:cs="宋体"/>
                <w:color w:val="000000"/>
                <w:sz w:val="22"/>
              </w:rPr>
              <w:t>考研</w:t>
            </w:r>
          </w:p>
        </w:tc>
        <w:tc>
          <w:tcPr>
            <w:tcW w:w="6362" w:type="dxa"/>
            <w:tcBorders>
              <w:tl2br w:val="nil"/>
              <w:tr2bl w:val="nil"/>
            </w:tcBorders>
            <w:shd w:val="clear" w:color="auto" w:fill="auto"/>
            <w:noWrap/>
            <w:tcMar>
              <w:top w:w="12" w:type="dxa"/>
              <w:left w:w="12" w:type="dxa"/>
              <w:right w:w="12" w:type="dxa"/>
            </w:tcMar>
            <w:vAlign w:val="center"/>
          </w:tcPr>
          <w:p>
            <w:pPr>
              <w:ind w:firstLine="440" w:firstLineChars="200"/>
              <w:jc w:val="left"/>
              <w:rPr>
                <w:rFonts w:ascii="宋体" w:hAnsi="宋体" w:cs="宋体"/>
                <w:color w:val="000000"/>
                <w:sz w:val="22"/>
              </w:rPr>
            </w:pPr>
            <w:r>
              <w:rPr>
                <w:rFonts w:hint="eastAsia" w:ascii="宋体" w:hAnsi="宋体" w:cs="宋体"/>
                <w:color w:val="000000"/>
                <w:sz w:val="22"/>
              </w:rPr>
              <w:t>《2020年考研英语词汇》：本课程是由陈龙老师为考生整理基础必考词汇，通过单词教授大家一些记忆方法，其中主要是联想记忆法，由一些词根联想到很多跟它有关联的词汇，从而加深记忆。</w:t>
            </w:r>
          </w:p>
          <w:p>
            <w:pPr>
              <w:ind w:firstLine="440" w:firstLineChars="200"/>
              <w:jc w:val="left"/>
              <w:rPr>
                <w:rFonts w:ascii="宋体" w:hAnsi="宋体" w:cs="宋体"/>
                <w:color w:val="000000"/>
                <w:sz w:val="22"/>
              </w:rPr>
            </w:pPr>
            <w:r>
              <w:rPr>
                <w:rFonts w:hint="eastAsia" w:ascii="宋体" w:hAnsi="宋体" w:cs="宋体"/>
                <w:color w:val="2F5597" w:themeColor="accent1" w:themeShade="BF"/>
                <w:sz w:val="22"/>
              </w:rPr>
              <w:t>课程分类：考研英语</w:t>
            </w:r>
          </w:p>
        </w:tc>
      </w:tr>
      <w:tr>
        <w:tblPrEx>
          <w:tblBorders>
            <w:top w:val="single" w:color="262626" w:themeColor="text1" w:themeTint="D8" w:sz="4" w:space="0"/>
            <w:left w:val="single" w:color="262626" w:themeColor="text1" w:themeTint="D8" w:sz="4" w:space="0"/>
            <w:bottom w:val="single" w:color="262626" w:themeColor="text1" w:themeTint="D8" w:sz="4" w:space="0"/>
            <w:right w:val="single" w:color="262626" w:themeColor="text1" w:themeTint="D8" w:sz="4" w:space="0"/>
            <w:insideH w:val="none" w:color="auto" w:sz="0" w:space="0"/>
            <w:insideV w:val="none" w:color="auto" w:sz="0" w:space="0"/>
          </w:tblBorders>
          <w:tblCellMar>
            <w:top w:w="0" w:type="dxa"/>
            <w:left w:w="0" w:type="dxa"/>
            <w:bottom w:w="0" w:type="dxa"/>
            <w:right w:w="0" w:type="dxa"/>
          </w:tblCellMar>
        </w:tblPrEx>
        <w:trPr>
          <w:trHeight w:val="354" w:hRule="atLeast"/>
          <w:jc w:val="center"/>
        </w:trPr>
        <w:tc>
          <w:tcPr>
            <w:tcW w:w="1290" w:type="dxa"/>
            <w:vMerge w:val="continue"/>
            <w:tcBorders>
              <w:tl2br w:val="nil"/>
              <w:tr2bl w:val="nil"/>
            </w:tcBorders>
            <w:shd w:val="clear" w:color="auto" w:fill="auto"/>
            <w:noWrap/>
            <w:tcMar>
              <w:top w:w="12" w:type="dxa"/>
              <w:left w:w="12" w:type="dxa"/>
              <w:right w:w="12" w:type="dxa"/>
            </w:tcMar>
            <w:vAlign w:val="center"/>
          </w:tcPr>
          <w:p>
            <w:pPr>
              <w:jc w:val="center"/>
              <w:rPr>
                <w:rFonts w:ascii="宋体" w:hAnsi="宋体" w:cs="宋体"/>
                <w:color w:val="000000"/>
                <w:sz w:val="22"/>
              </w:rPr>
            </w:pPr>
          </w:p>
        </w:tc>
        <w:tc>
          <w:tcPr>
            <w:tcW w:w="1261" w:type="dxa"/>
            <w:vMerge w:val="continue"/>
            <w:tcBorders>
              <w:tl2br w:val="nil"/>
              <w:tr2bl w:val="nil"/>
            </w:tcBorders>
            <w:shd w:val="clear" w:color="auto" w:fill="auto"/>
            <w:noWrap/>
            <w:tcMar>
              <w:top w:w="12" w:type="dxa"/>
              <w:left w:w="12" w:type="dxa"/>
              <w:right w:w="12" w:type="dxa"/>
            </w:tcMar>
            <w:vAlign w:val="center"/>
          </w:tcPr>
          <w:p>
            <w:pPr>
              <w:jc w:val="center"/>
              <w:rPr>
                <w:rFonts w:ascii="宋体" w:hAnsi="宋体" w:cs="宋体"/>
                <w:color w:val="000000"/>
                <w:sz w:val="22"/>
              </w:rPr>
            </w:pPr>
          </w:p>
        </w:tc>
        <w:tc>
          <w:tcPr>
            <w:tcW w:w="6362" w:type="dxa"/>
            <w:tcBorders>
              <w:tl2br w:val="nil"/>
              <w:tr2bl w:val="nil"/>
            </w:tcBorders>
            <w:shd w:val="clear" w:color="auto" w:fill="auto"/>
            <w:noWrap/>
            <w:tcMar>
              <w:top w:w="12" w:type="dxa"/>
              <w:left w:w="12" w:type="dxa"/>
              <w:right w:w="12" w:type="dxa"/>
            </w:tcMar>
            <w:vAlign w:val="center"/>
          </w:tcPr>
          <w:p>
            <w:pPr>
              <w:ind w:firstLine="440" w:firstLineChars="200"/>
              <w:jc w:val="left"/>
              <w:rPr>
                <w:rFonts w:ascii="宋体" w:hAnsi="宋体" w:cs="宋体"/>
                <w:color w:val="000000"/>
                <w:sz w:val="22"/>
              </w:rPr>
            </w:pPr>
            <w:r>
              <w:rPr>
                <w:rFonts w:hint="eastAsia" w:ascii="宋体" w:hAnsi="宋体" w:cs="宋体"/>
                <w:color w:val="000000"/>
                <w:sz w:val="22"/>
              </w:rPr>
              <w:t>本课程陈龙老师将带着大家通过综合习题来分析句子结构，进行语法基础分析，掌握拆分解读句子的技巧。</w:t>
            </w:r>
          </w:p>
          <w:p>
            <w:pPr>
              <w:ind w:firstLine="440" w:firstLineChars="200"/>
              <w:jc w:val="left"/>
              <w:rPr>
                <w:rFonts w:ascii="宋体" w:hAnsi="宋体" w:cs="宋体"/>
                <w:color w:val="000000"/>
                <w:sz w:val="22"/>
              </w:rPr>
            </w:pPr>
            <w:r>
              <w:rPr>
                <w:rFonts w:hint="eastAsia" w:ascii="宋体" w:hAnsi="宋体" w:cs="宋体"/>
                <w:color w:val="2F5597" w:themeColor="accent1" w:themeShade="BF"/>
                <w:sz w:val="22"/>
              </w:rPr>
              <w:t>课程分类：考研英语</w:t>
            </w:r>
          </w:p>
        </w:tc>
      </w:tr>
      <w:tr>
        <w:tblPrEx>
          <w:tblBorders>
            <w:top w:val="single" w:color="262626" w:themeColor="text1" w:themeTint="D8" w:sz="4" w:space="0"/>
            <w:left w:val="single" w:color="262626" w:themeColor="text1" w:themeTint="D8" w:sz="4" w:space="0"/>
            <w:bottom w:val="single" w:color="262626" w:themeColor="text1" w:themeTint="D8" w:sz="4" w:space="0"/>
            <w:right w:val="single" w:color="262626" w:themeColor="text1" w:themeTint="D8" w:sz="4" w:space="0"/>
            <w:insideH w:val="none" w:color="auto" w:sz="0" w:space="0"/>
            <w:insideV w:val="none" w:color="auto" w:sz="0" w:space="0"/>
          </w:tblBorders>
          <w:tblCellMar>
            <w:top w:w="0" w:type="dxa"/>
            <w:left w:w="0" w:type="dxa"/>
            <w:bottom w:w="0" w:type="dxa"/>
            <w:right w:w="0" w:type="dxa"/>
          </w:tblCellMar>
        </w:tblPrEx>
        <w:trPr>
          <w:trHeight w:val="354" w:hRule="atLeast"/>
          <w:jc w:val="center"/>
        </w:trPr>
        <w:tc>
          <w:tcPr>
            <w:tcW w:w="1290" w:type="dxa"/>
            <w:vMerge w:val="continue"/>
            <w:tcBorders>
              <w:tl2br w:val="nil"/>
              <w:tr2bl w:val="nil"/>
            </w:tcBorders>
            <w:shd w:val="clear" w:color="auto" w:fill="auto"/>
            <w:noWrap/>
            <w:tcMar>
              <w:top w:w="12" w:type="dxa"/>
              <w:left w:w="12" w:type="dxa"/>
              <w:right w:w="12" w:type="dxa"/>
            </w:tcMar>
            <w:vAlign w:val="center"/>
          </w:tcPr>
          <w:p>
            <w:pPr>
              <w:jc w:val="center"/>
              <w:rPr>
                <w:rFonts w:ascii="宋体" w:hAnsi="宋体" w:cs="宋体"/>
                <w:color w:val="000000"/>
                <w:sz w:val="22"/>
              </w:rPr>
            </w:pPr>
          </w:p>
        </w:tc>
        <w:tc>
          <w:tcPr>
            <w:tcW w:w="1261" w:type="dxa"/>
            <w:vMerge w:val="continue"/>
            <w:tcBorders>
              <w:tl2br w:val="nil"/>
              <w:tr2bl w:val="nil"/>
            </w:tcBorders>
            <w:shd w:val="clear" w:color="auto" w:fill="auto"/>
            <w:noWrap/>
            <w:tcMar>
              <w:top w:w="12" w:type="dxa"/>
              <w:left w:w="12" w:type="dxa"/>
              <w:right w:w="12" w:type="dxa"/>
            </w:tcMar>
            <w:vAlign w:val="center"/>
          </w:tcPr>
          <w:p>
            <w:pPr>
              <w:jc w:val="center"/>
              <w:rPr>
                <w:rFonts w:ascii="宋体" w:hAnsi="宋体" w:cs="宋体"/>
                <w:color w:val="000000"/>
                <w:sz w:val="22"/>
              </w:rPr>
            </w:pPr>
          </w:p>
        </w:tc>
        <w:tc>
          <w:tcPr>
            <w:tcW w:w="6362" w:type="dxa"/>
            <w:tcBorders>
              <w:tl2br w:val="nil"/>
              <w:tr2bl w:val="nil"/>
            </w:tcBorders>
            <w:shd w:val="clear" w:color="auto" w:fill="auto"/>
            <w:noWrap/>
            <w:tcMar>
              <w:top w:w="12" w:type="dxa"/>
              <w:left w:w="12" w:type="dxa"/>
              <w:right w:w="12" w:type="dxa"/>
            </w:tcMar>
            <w:vAlign w:val="center"/>
          </w:tcPr>
          <w:p>
            <w:pPr>
              <w:ind w:firstLine="440" w:firstLineChars="200"/>
              <w:jc w:val="left"/>
              <w:rPr>
                <w:rFonts w:ascii="宋体" w:hAnsi="宋体" w:cs="宋体"/>
                <w:color w:val="000000"/>
                <w:sz w:val="22"/>
              </w:rPr>
            </w:pPr>
            <w:r>
              <w:rPr>
                <w:rFonts w:hint="eastAsia" w:ascii="宋体" w:hAnsi="宋体" w:cs="宋体"/>
                <w:color w:val="000000"/>
                <w:sz w:val="22"/>
              </w:rPr>
              <w:t>《2020年考研英语长难句精讲》：本课程是陈龙老师就历年来的真题难点进行分析，用他独有的解题思路帮助考生化解考试中阅读理解的疑难杂症，老师讲课幽默风趣，考生容易接受。</w:t>
            </w:r>
          </w:p>
          <w:p>
            <w:pPr>
              <w:ind w:firstLine="440" w:firstLineChars="200"/>
              <w:jc w:val="left"/>
              <w:rPr>
                <w:rFonts w:ascii="宋体" w:hAnsi="宋体" w:cs="宋体"/>
                <w:color w:val="000000"/>
                <w:sz w:val="22"/>
              </w:rPr>
            </w:pPr>
            <w:r>
              <w:rPr>
                <w:rFonts w:hint="eastAsia" w:ascii="宋体" w:hAnsi="宋体" w:cs="宋体"/>
                <w:color w:val="2F5597" w:themeColor="accent1" w:themeShade="BF"/>
                <w:sz w:val="22"/>
              </w:rPr>
              <w:t>课程分类：考研英语</w:t>
            </w:r>
          </w:p>
        </w:tc>
      </w:tr>
      <w:tr>
        <w:tblPrEx>
          <w:tblBorders>
            <w:top w:val="single" w:color="262626" w:themeColor="text1" w:themeTint="D8" w:sz="4" w:space="0"/>
            <w:left w:val="single" w:color="262626" w:themeColor="text1" w:themeTint="D8" w:sz="4" w:space="0"/>
            <w:bottom w:val="single" w:color="262626" w:themeColor="text1" w:themeTint="D8" w:sz="4" w:space="0"/>
            <w:right w:val="single" w:color="262626" w:themeColor="text1" w:themeTint="D8" w:sz="4" w:space="0"/>
            <w:insideH w:val="none" w:color="auto" w:sz="0" w:space="0"/>
            <w:insideV w:val="none" w:color="auto" w:sz="0" w:space="0"/>
          </w:tblBorders>
          <w:tblCellMar>
            <w:top w:w="0" w:type="dxa"/>
            <w:left w:w="0" w:type="dxa"/>
            <w:bottom w:w="0" w:type="dxa"/>
            <w:right w:w="0" w:type="dxa"/>
          </w:tblCellMar>
        </w:tblPrEx>
        <w:trPr>
          <w:trHeight w:val="354" w:hRule="atLeast"/>
          <w:jc w:val="center"/>
        </w:trPr>
        <w:tc>
          <w:tcPr>
            <w:tcW w:w="1290" w:type="dxa"/>
            <w:vMerge w:val="continue"/>
            <w:tcBorders>
              <w:tl2br w:val="nil"/>
              <w:tr2bl w:val="nil"/>
            </w:tcBorders>
            <w:shd w:val="clear" w:color="auto" w:fill="auto"/>
            <w:noWrap/>
            <w:tcMar>
              <w:top w:w="12" w:type="dxa"/>
              <w:left w:w="12" w:type="dxa"/>
              <w:right w:w="12" w:type="dxa"/>
            </w:tcMar>
            <w:vAlign w:val="center"/>
          </w:tcPr>
          <w:p>
            <w:pPr>
              <w:jc w:val="center"/>
              <w:rPr>
                <w:rFonts w:ascii="宋体" w:hAnsi="宋体" w:cs="宋体"/>
                <w:color w:val="000000"/>
                <w:sz w:val="22"/>
              </w:rPr>
            </w:pPr>
          </w:p>
        </w:tc>
        <w:tc>
          <w:tcPr>
            <w:tcW w:w="1261" w:type="dxa"/>
            <w:vMerge w:val="continue"/>
            <w:tcBorders>
              <w:tl2br w:val="nil"/>
              <w:tr2bl w:val="nil"/>
            </w:tcBorders>
            <w:shd w:val="clear" w:color="auto" w:fill="auto"/>
            <w:noWrap/>
            <w:tcMar>
              <w:top w:w="12" w:type="dxa"/>
              <w:left w:w="12" w:type="dxa"/>
              <w:right w:w="12" w:type="dxa"/>
            </w:tcMar>
            <w:vAlign w:val="center"/>
          </w:tcPr>
          <w:p>
            <w:pPr>
              <w:jc w:val="center"/>
              <w:rPr>
                <w:rFonts w:ascii="宋体" w:hAnsi="宋体" w:cs="宋体"/>
                <w:color w:val="000000"/>
                <w:sz w:val="22"/>
              </w:rPr>
            </w:pPr>
          </w:p>
        </w:tc>
        <w:tc>
          <w:tcPr>
            <w:tcW w:w="6362" w:type="dxa"/>
            <w:tcBorders>
              <w:tl2br w:val="nil"/>
              <w:tr2bl w:val="nil"/>
            </w:tcBorders>
            <w:shd w:val="clear" w:color="auto" w:fill="auto"/>
            <w:noWrap/>
            <w:tcMar>
              <w:top w:w="12" w:type="dxa"/>
              <w:left w:w="12" w:type="dxa"/>
              <w:right w:w="12" w:type="dxa"/>
            </w:tcMar>
            <w:vAlign w:val="center"/>
          </w:tcPr>
          <w:p>
            <w:pPr>
              <w:ind w:firstLine="440" w:firstLineChars="200"/>
              <w:jc w:val="left"/>
              <w:rPr>
                <w:rFonts w:ascii="宋体" w:hAnsi="宋体" w:cs="宋体"/>
                <w:color w:val="000000"/>
                <w:sz w:val="22"/>
              </w:rPr>
            </w:pPr>
            <w:r>
              <w:rPr>
                <w:rFonts w:hint="eastAsia" w:ascii="宋体" w:hAnsi="宋体" w:cs="宋体"/>
                <w:color w:val="000000"/>
                <w:sz w:val="22"/>
              </w:rPr>
              <w:t>本课程杨加宁老师高度提炼了考研政治马原部分精要，从逻辑框架与考试大纲内容精解等不同侧面给考生指明道路。加上杨老师的讲解，使的马原部分显的丰富而详实。</w:t>
            </w:r>
          </w:p>
          <w:p>
            <w:pPr>
              <w:ind w:firstLine="440" w:firstLineChars="200"/>
              <w:jc w:val="left"/>
              <w:rPr>
                <w:rFonts w:ascii="宋体" w:hAnsi="宋体" w:cs="宋体"/>
                <w:color w:val="000000"/>
                <w:sz w:val="22"/>
              </w:rPr>
            </w:pPr>
            <w:r>
              <w:rPr>
                <w:rFonts w:hint="eastAsia" w:ascii="宋体" w:hAnsi="宋体" w:cs="宋体"/>
                <w:color w:val="2F5597" w:themeColor="accent1" w:themeShade="BF"/>
                <w:sz w:val="22"/>
              </w:rPr>
              <w:t>课程分类：考研政治</w:t>
            </w:r>
          </w:p>
        </w:tc>
      </w:tr>
      <w:tr>
        <w:tblPrEx>
          <w:tblBorders>
            <w:top w:val="single" w:color="262626" w:themeColor="text1" w:themeTint="D8" w:sz="4" w:space="0"/>
            <w:left w:val="single" w:color="262626" w:themeColor="text1" w:themeTint="D8" w:sz="4" w:space="0"/>
            <w:bottom w:val="single" w:color="262626" w:themeColor="text1" w:themeTint="D8" w:sz="4" w:space="0"/>
            <w:right w:val="single" w:color="262626" w:themeColor="text1" w:themeTint="D8" w:sz="4" w:space="0"/>
            <w:insideH w:val="none" w:color="auto" w:sz="0" w:space="0"/>
            <w:insideV w:val="none" w:color="auto" w:sz="0" w:space="0"/>
          </w:tblBorders>
          <w:tblCellMar>
            <w:top w:w="0" w:type="dxa"/>
            <w:left w:w="0" w:type="dxa"/>
            <w:bottom w:w="0" w:type="dxa"/>
            <w:right w:w="0" w:type="dxa"/>
          </w:tblCellMar>
        </w:tblPrEx>
        <w:trPr>
          <w:trHeight w:val="354" w:hRule="atLeast"/>
          <w:jc w:val="center"/>
        </w:trPr>
        <w:tc>
          <w:tcPr>
            <w:tcW w:w="1290" w:type="dxa"/>
            <w:vMerge w:val="continue"/>
            <w:tcBorders>
              <w:tl2br w:val="nil"/>
              <w:tr2bl w:val="nil"/>
            </w:tcBorders>
            <w:shd w:val="clear" w:color="auto" w:fill="auto"/>
            <w:noWrap/>
            <w:tcMar>
              <w:top w:w="12" w:type="dxa"/>
              <w:left w:w="12" w:type="dxa"/>
              <w:right w:w="12" w:type="dxa"/>
            </w:tcMar>
            <w:vAlign w:val="center"/>
          </w:tcPr>
          <w:p>
            <w:pPr>
              <w:jc w:val="center"/>
              <w:rPr>
                <w:rFonts w:ascii="宋体" w:hAnsi="宋体" w:cs="宋体"/>
                <w:color w:val="000000"/>
                <w:sz w:val="22"/>
              </w:rPr>
            </w:pPr>
          </w:p>
        </w:tc>
        <w:tc>
          <w:tcPr>
            <w:tcW w:w="1261" w:type="dxa"/>
            <w:vMerge w:val="continue"/>
            <w:tcBorders>
              <w:tl2br w:val="nil"/>
              <w:tr2bl w:val="nil"/>
            </w:tcBorders>
            <w:shd w:val="clear" w:color="auto" w:fill="auto"/>
            <w:noWrap/>
            <w:tcMar>
              <w:top w:w="12" w:type="dxa"/>
              <w:left w:w="12" w:type="dxa"/>
              <w:right w:w="12" w:type="dxa"/>
            </w:tcMar>
            <w:vAlign w:val="center"/>
          </w:tcPr>
          <w:p>
            <w:pPr>
              <w:jc w:val="center"/>
              <w:rPr>
                <w:rFonts w:ascii="宋体" w:hAnsi="宋体" w:cs="宋体"/>
                <w:color w:val="000000"/>
                <w:sz w:val="22"/>
              </w:rPr>
            </w:pPr>
          </w:p>
        </w:tc>
        <w:tc>
          <w:tcPr>
            <w:tcW w:w="6362" w:type="dxa"/>
            <w:tcBorders>
              <w:tl2br w:val="nil"/>
              <w:tr2bl w:val="nil"/>
            </w:tcBorders>
            <w:shd w:val="clear" w:color="auto" w:fill="auto"/>
            <w:noWrap/>
            <w:tcMar>
              <w:top w:w="12" w:type="dxa"/>
              <w:left w:w="12" w:type="dxa"/>
              <w:right w:w="12" w:type="dxa"/>
            </w:tcMar>
            <w:vAlign w:val="center"/>
          </w:tcPr>
          <w:p>
            <w:pPr>
              <w:ind w:firstLine="440" w:firstLineChars="200"/>
              <w:jc w:val="left"/>
              <w:rPr>
                <w:rFonts w:ascii="宋体" w:hAnsi="宋体" w:cs="宋体"/>
                <w:color w:val="000000"/>
                <w:sz w:val="22"/>
              </w:rPr>
            </w:pPr>
            <w:r>
              <w:rPr>
                <w:rFonts w:hint="eastAsia" w:ascii="宋体" w:hAnsi="宋体" w:cs="宋体"/>
                <w:color w:val="000000"/>
                <w:sz w:val="22"/>
              </w:rPr>
              <w:t>《2020年考研政治 马克思主义基本原理概论 基础课》：在考研政治的五大部分中，毛中特的占比比较多。杨加宁老师提醒考生们，复习毛中特部分时，逻辑体系一定要清楚，要明白内容考点，要整理出复习框架。接下来和杨加宁老师一起看看毛中特的复习框架吧。</w:t>
            </w:r>
          </w:p>
          <w:p>
            <w:pPr>
              <w:ind w:firstLine="440" w:firstLineChars="200"/>
              <w:jc w:val="left"/>
              <w:rPr>
                <w:rFonts w:ascii="宋体" w:hAnsi="宋体" w:cs="宋体"/>
                <w:color w:val="000000"/>
                <w:sz w:val="22"/>
              </w:rPr>
            </w:pPr>
            <w:r>
              <w:rPr>
                <w:rFonts w:hint="eastAsia" w:ascii="宋体" w:hAnsi="宋体" w:cs="宋体"/>
                <w:color w:val="2F5597" w:themeColor="accent1" w:themeShade="BF"/>
                <w:sz w:val="22"/>
              </w:rPr>
              <w:t>课程分类：考研政治</w:t>
            </w:r>
          </w:p>
        </w:tc>
      </w:tr>
      <w:tr>
        <w:tblPrEx>
          <w:tblBorders>
            <w:top w:val="single" w:color="262626" w:themeColor="text1" w:themeTint="D8" w:sz="4" w:space="0"/>
            <w:left w:val="single" w:color="262626" w:themeColor="text1" w:themeTint="D8" w:sz="4" w:space="0"/>
            <w:bottom w:val="single" w:color="262626" w:themeColor="text1" w:themeTint="D8" w:sz="4" w:space="0"/>
            <w:right w:val="single" w:color="262626" w:themeColor="text1" w:themeTint="D8" w:sz="4" w:space="0"/>
            <w:insideH w:val="none" w:color="auto" w:sz="0" w:space="0"/>
            <w:insideV w:val="none" w:color="auto" w:sz="0" w:space="0"/>
          </w:tblBorders>
          <w:tblCellMar>
            <w:top w:w="0" w:type="dxa"/>
            <w:left w:w="0" w:type="dxa"/>
            <w:bottom w:w="0" w:type="dxa"/>
            <w:right w:w="0" w:type="dxa"/>
          </w:tblCellMar>
        </w:tblPrEx>
        <w:trPr>
          <w:trHeight w:val="354" w:hRule="atLeast"/>
          <w:jc w:val="center"/>
        </w:trPr>
        <w:tc>
          <w:tcPr>
            <w:tcW w:w="1290" w:type="dxa"/>
            <w:vMerge w:val="continue"/>
            <w:tcBorders>
              <w:tl2br w:val="nil"/>
              <w:tr2bl w:val="nil"/>
            </w:tcBorders>
            <w:shd w:val="clear" w:color="auto" w:fill="auto"/>
            <w:noWrap/>
            <w:tcMar>
              <w:top w:w="12" w:type="dxa"/>
              <w:left w:w="12" w:type="dxa"/>
              <w:right w:w="12" w:type="dxa"/>
            </w:tcMar>
            <w:vAlign w:val="center"/>
          </w:tcPr>
          <w:p>
            <w:pPr>
              <w:jc w:val="center"/>
              <w:rPr>
                <w:rFonts w:ascii="宋体" w:hAnsi="宋体" w:cs="宋体"/>
                <w:color w:val="000000"/>
                <w:sz w:val="22"/>
              </w:rPr>
            </w:pPr>
          </w:p>
        </w:tc>
        <w:tc>
          <w:tcPr>
            <w:tcW w:w="1261" w:type="dxa"/>
            <w:vMerge w:val="continue"/>
            <w:tcBorders>
              <w:tl2br w:val="nil"/>
              <w:tr2bl w:val="nil"/>
            </w:tcBorders>
            <w:shd w:val="clear" w:color="auto" w:fill="auto"/>
            <w:noWrap/>
            <w:tcMar>
              <w:top w:w="12" w:type="dxa"/>
              <w:left w:w="12" w:type="dxa"/>
              <w:right w:w="12" w:type="dxa"/>
            </w:tcMar>
            <w:vAlign w:val="center"/>
          </w:tcPr>
          <w:p>
            <w:pPr>
              <w:jc w:val="center"/>
              <w:rPr>
                <w:rFonts w:ascii="宋体" w:hAnsi="宋体" w:cs="宋体"/>
                <w:color w:val="000000"/>
                <w:sz w:val="22"/>
              </w:rPr>
            </w:pPr>
          </w:p>
        </w:tc>
        <w:tc>
          <w:tcPr>
            <w:tcW w:w="6362" w:type="dxa"/>
            <w:tcBorders>
              <w:tl2br w:val="nil"/>
              <w:tr2bl w:val="nil"/>
            </w:tcBorders>
            <w:shd w:val="clear" w:color="auto" w:fill="auto"/>
            <w:noWrap/>
            <w:tcMar>
              <w:top w:w="12" w:type="dxa"/>
              <w:left w:w="12" w:type="dxa"/>
              <w:right w:w="12" w:type="dxa"/>
            </w:tcMar>
            <w:vAlign w:val="center"/>
          </w:tcPr>
          <w:p>
            <w:pPr>
              <w:ind w:firstLine="440" w:firstLineChars="200"/>
              <w:jc w:val="left"/>
              <w:rPr>
                <w:rFonts w:ascii="宋体" w:hAnsi="宋体" w:cs="宋体"/>
                <w:color w:val="000000"/>
                <w:sz w:val="22"/>
              </w:rPr>
            </w:pPr>
            <w:r>
              <w:rPr>
                <w:rFonts w:hint="eastAsia" w:ascii="宋体" w:hAnsi="宋体" w:cs="宋体"/>
                <w:color w:val="000000"/>
                <w:sz w:val="22"/>
              </w:rPr>
              <w:t>《2020年考研政治 毛中特900题精讲》：本课程收录了2003~2018年的考研政治真题，并对每套真题中的每个题型进行了详细解读。通过分析题目推理出正确答案，并对干扰选项进行逐一排除，分析题解析亦从“题目分析”入手，并提炼出“答案要点”。有助于考生感受考试的命题角度，检验之前的学习效果，并最终实现分数的提高。</w:t>
            </w:r>
          </w:p>
          <w:p>
            <w:pPr>
              <w:ind w:firstLine="440" w:firstLineChars="200"/>
              <w:jc w:val="left"/>
              <w:rPr>
                <w:rFonts w:ascii="宋体" w:hAnsi="宋体" w:cs="宋体"/>
                <w:color w:val="000000"/>
                <w:sz w:val="22"/>
              </w:rPr>
            </w:pPr>
            <w:r>
              <w:rPr>
                <w:rFonts w:hint="eastAsia" w:ascii="宋体" w:hAnsi="宋体" w:cs="宋体"/>
                <w:color w:val="2F5597" w:themeColor="accent1" w:themeShade="BF"/>
                <w:sz w:val="22"/>
              </w:rPr>
              <w:t>课程分类：考研政治</w:t>
            </w:r>
          </w:p>
        </w:tc>
      </w:tr>
      <w:tr>
        <w:tblPrEx>
          <w:tblBorders>
            <w:top w:val="single" w:color="262626" w:themeColor="text1" w:themeTint="D8" w:sz="4" w:space="0"/>
            <w:left w:val="single" w:color="262626" w:themeColor="text1" w:themeTint="D8" w:sz="4" w:space="0"/>
            <w:bottom w:val="single" w:color="262626" w:themeColor="text1" w:themeTint="D8" w:sz="4" w:space="0"/>
            <w:right w:val="single" w:color="262626" w:themeColor="text1" w:themeTint="D8" w:sz="4" w:space="0"/>
            <w:insideH w:val="none" w:color="auto" w:sz="0" w:space="0"/>
            <w:insideV w:val="none" w:color="auto" w:sz="0" w:space="0"/>
          </w:tblBorders>
          <w:tblCellMar>
            <w:top w:w="0" w:type="dxa"/>
            <w:left w:w="0" w:type="dxa"/>
            <w:bottom w:w="0" w:type="dxa"/>
            <w:right w:w="0" w:type="dxa"/>
          </w:tblCellMar>
        </w:tblPrEx>
        <w:trPr>
          <w:trHeight w:val="354" w:hRule="atLeast"/>
          <w:jc w:val="center"/>
        </w:trPr>
        <w:tc>
          <w:tcPr>
            <w:tcW w:w="1290" w:type="dxa"/>
            <w:vMerge w:val="restart"/>
            <w:tcBorders>
              <w:tl2br w:val="nil"/>
              <w:tr2bl w:val="nil"/>
            </w:tcBorders>
            <w:shd w:val="clear" w:color="auto" w:fill="auto"/>
            <w:noWrap/>
            <w:tcMar>
              <w:top w:w="12" w:type="dxa"/>
              <w:left w:w="12" w:type="dxa"/>
              <w:right w:w="12" w:type="dxa"/>
            </w:tcMar>
            <w:vAlign w:val="center"/>
          </w:tcPr>
          <w:p>
            <w:pPr>
              <w:jc w:val="center"/>
              <w:rPr>
                <w:rFonts w:ascii="宋体" w:hAnsi="宋体" w:cs="宋体"/>
                <w:color w:val="000000"/>
                <w:sz w:val="22"/>
              </w:rPr>
            </w:pPr>
            <w:r>
              <w:rPr>
                <w:rFonts w:hint="eastAsia" w:ascii="宋体" w:hAnsi="宋体" w:cs="宋体"/>
                <w:color w:val="000000"/>
                <w:sz w:val="22"/>
              </w:rPr>
              <w:t>公务员考试</w:t>
            </w:r>
          </w:p>
          <w:p>
            <w:pPr>
              <w:jc w:val="center"/>
              <w:rPr>
                <w:rFonts w:ascii="宋体" w:hAnsi="宋体" w:cs="宋体"/>
                <w:color w:val="000000"/>
                <w:sz w:val="22"/>
              </w:rPr>
            </w:pPr>
            <w:r>
              <w:rPr>
                <w:rFonts w:hint="eastAsia" w:ascii="宋体" w:hAnsi="宋体" w:cs="宋体"/>
                <w:color w:val="000000"/>
                <w:sz w:val="22"/>
              </w:rPr>
              <w:t>244篇</w:t>
            </w:r>
          </w:p>
          <w:p>
            <w:pPr>
              <w:jc w:val="center"/>
              <w:rPr>
                <w:rFonts w:ascii="宋体" w:hAnsi="宋体" w:cs="宋体"/>
                <w:color w:val="000000"/>
                <w:sz w:val="22"/>
              </w:rPr>
            </w:pPr>
            <w:r>
              <w:rPr>
                <w:rFonts w:hint="eastAsia" w:ascii="宋体" w:hAnsi="宋体" w:cs="宋体"/>
                <w:color w:val="000000"/>
                <w:sz w:val="22"/>
              </w:rPr>
              <w:t>占比：16.3%</w:t>
            </w:r>
          </w:p>
        </w:tc>
        <w:tc>
          <w:tcPr>
            <w:tcW w:w="1261" w:type="dxa"/>
            <w:vMerge w:val="restart"/>
            <w:tcBorders>
              <w:tl2br w:val="nil"/>
              <w:tr2bl w:val="nil"/>
            </w:tcBorders>
            <w:shd w:val="clear" w:color="auto" w:fill="auto"/>
            <w:noWrap/>
            <w:tcMar>
              <w:top w:w="12" w:type="dxa"/>
              <w:left w:w="12" w:type="dxa"/>
              <w:right w:w="12" w:type="dxa"/>
            </w:tcMar>
            <w:vAlign w:val="center"/>
          </w:tcPr>
          <w:p>
            <w:pPr>
              <w:jc w:val="center"/>
              <w:rPr>
                <w:rFonts w:ascii="宋体" w:hAnsi="宋体" w:cs="宋体"/>
                <w:color w:val="000000"/>
                <w:sz w:val="22"/>
              </w:rPr>
            </w:pPr>
            <w:r>
              <w:rPr>
                <w:rFonts w:hint="eastAsia" w:ascii="宋体" w:hAnsi="宋体" w:cs="宋体"/>
                <w:color w:val="000000"/>
                <w:sz w:val="22"/>
              </w:rPr>
              <w:t>国家公务员</w:t>
            </w:r>
          </w:p>
        </w:tc>
        <w:tc>
          <w:tcPr>
            <w:tcW w:w="6362" w:type="dxa"/>
            <w:tcBorders>
              <w:tl2br w:val="nil"/>
              <w:tr2bl w:val="nil"/>
            </w:tcBorders>
            <w:shd w:val="clear" w:color="auto" w:fill="auto"/>
            <w:noWrap/>
            <w:tcMar>
              <w:top w:w="12" w:type="dxa"/>
              <w:left w:w="12" w:type="dxa"/>
              <w:right w:w="12" w:type="dxa"/>
            </w:tcMar>
            <w:vAlign w:val="center"/>
          </w:tcPr>
          <w:p>
            <w:pPr>
              <w:ind w:firstLine="440" w:firstLineChars="200"/>
              <w:jc w:val="left"/>
              <w:rPr>
                <w:rFonts w:ascii="宋体" w:hAnsi="宋体" w:cs="宋体"/>
                <w:color w:val="000000"/>
                <w:sz w:val="22"/>
              </w:rPr>
            </w:pPr>
            <w:r>
              <w:rPr>
                <w:rFonts w:hint="eastAsia" w:ascii="宋体" w:hAnsi="宋体" w:cs="宋体"/>
                <w:color w:val="000000"/>
                <w:sz w:val="22"/>
              </w:rPr>
              <w:t>《2020国家公务员考试省考考情考务分析》：公务员考试近几年来采用的招录流程是固定的。常见的有基层工作经历年限要求、专业要求等。由于公务员考试职位表每年都不同，因此，考生要等到公务员考试职位表发布以后才能知道自己能报哪些岗位。</w:t>
            </w:r>
          </w:p>
          <w:p>
            <w:pPr>
              <w:ind w:firstLine="440" w:firstLineChars="200"/>
              <w:jc w:val="left"/>
              <w:rPr>
                <w:rFonts w:ascii="宋体" w:hAnsi="宋体" w:cs="宋体"/>
                <w:color w:val="000000"/>
                <w:sz w:val="22"/>
              </w:rPr>
            </w:pPr>
            <w:r>
              <w:rPr>
                <w:rFonts w:hint="eastAsia" w:ascii="宋体" w:hAnsi="宋体" w:cs="宋体"/>
                <w:color w:val="2F5597" w:themeColor="accent1" w:themeShade="BF"/>
                <w:sz w:val="22"/>
              </w:rPr>
              <w:t>课程分类：行测</w:t>
            </w:r>
          </w:p>
        </w:tc>
      </w:tr>
      <w:tr>
        <w:tblPrEx>
          <w:tblBorders>
            <w:top w:val="single" w:color="262626" w:themeColor="text1" w:themeTint="D8" w:sz="4" w:space="0"/>
            <w:left w:val="single" w:color="262626" w:themeColor="text1" w:themeTint="D8" w:sz="4" w:space="0"/>
            <w:bottom w:val="single" w:color="262626" w:themeColor="text1" w:themeTint="D8" w:sz="4" w:space="0"/>
            <w:right w:val="single" w:color="262626" w:themeColor="text1" w:themeTint="D8" w:sz="4" w:space="0"/>
            <w:insideH w:val="none" w:color="auto" w:sz="0" w:space="0"/>
            <w:insideV w:val="none" w:color="auto" w:sz="0" w:space="0"/>
          </w:tblBorders>
          <w:tblCellMar>
            <w:top w:w="0" w:type="dxa"/>
            <w:left w:w="0" w:type="dxa"/>
            <w:bottom w:w="0" w:type="dxa"/>
            <w:right w:w="0" w:type="dxa"/>
          </w:tblCellMar>
        </w:tblPrEx>
        <w:trPr>
          <w:trHeight w:val="354" w:hRule="atLeast"/>
          <w:jc w:val="center"/>
        </w:trPr>
        <w:tc>
          <w:tcPr>
            <w:tcW w:w="1290" w:type="dxa"/>
            <w:vMerge w:val="continue"/>
            <w:tcBorders>
              <w:tl2br w:val="nil"/>
              <w:tr2bl w:val="nil"/>
            </w:tcBorders>
            <w:shd w:val="clear" w:color="auto" w:fill="auto"/>
            <w:noWrap/>
            <w:tcMar>
              <w:top w:w="12" w:type="dxa"/>
              <w:left w:w="12" w:type="dxa"/>
              <w:right w:w="12" w:type="dxa"/>
            </w:tcMar>
            <w:vAlign w:val="center"/>
          </w:tcPr>
          <w:p>
            <w:pPr>
              <w:jc w:val="center"/>
              <w:rPr>
                <w:rFonts w:ascii="宋体" w:hAnsi="宋体" w:cs="宋体"/>
                <w:color w:val="000000"/>
                <w:sz w:val="22"/>
              </w:rPr>
            </w:pPr>
          </w:p>
        </w:tc>
        <w:tc>
          <w:tcPr>
            <w:tcW w:w="1261" w:type="dxa"/>
            <w:vMerge w:val="continue"/>
            <w:tcBorders>
              <w:tl2br w:val="nil"/>
              <w:tr2bl w:val="nil"/>
            </w:tcBorders>
            <w:shd w:val="clear" w:color="auto" w:fill="auto"/>
            <w:noWrap/>
            <w:tcMar>
              <w:top w:w="12" w:type="dxa"/>
              <w:left w:w="12" w:type="dxa"/>
              <w:right w:w="12" w:type="dxa"/>
            </w:tcMar>
            <w:vAlign w:val="center"/>
          </w:tcPr>
          <w:p>
            <w:pPr>
              <w:jc w:val="center"/>
              <w:rPr>
                <w:rFonts w:ascii="宋体" w:hAnsi="宋体" w:cs="宋体"/>
                <w:color w:val="000000"/>
                <w:sz w:val="22"/>
              </w:rPr>
            </w:pPr>
          </w:p>
        </w:tc>
        <w:tc>
          <w:tcPr>
            <w:tcW w:w="6362" w:type="dxa"/>
            <w:tcBorders>
              <w:tl2br w:val="nil"/>
              <w:tr2bl w:val="nil"/>
            </w:tcBorders>
            <w:shd w:val="clear" w:color="auto" w:fill="auto"/>
            <w:noWrap/>
            <w:tcMar>
              <w:top w:w="12" w:type="dxa"/>
              <w:left w:w="12" w:type="dxa"/>
              <w:right w:w="12" w:type="dxa"/>
            </w:tcMar>
            <w:vAlign w:val="center"/>
          </w:tcPr>
          <w:p>
            <w:pPr>
              <w:ind w:firstLine="440" w:firstLineChars="200"/>
              <w:jc w:val="left"/>
              <w:rPr>
                <w:rFonts w:ascii="宋体" w:hAnsi="宋体" w:cs="宋体"/>
                <w:color w:val="000000"/>
                <w:sz w:val="22"/>
              </w:rPr>
            </w:pPr>
            <w:r>
              <w:rPr>
                <w:rFonts w:hint="eastAsia" w:ascii="宋体" w:hAnsi="宋体" w:cs="宋体"/>
                <w:color w:val="000000"/>
                <w:sz w:val="22"/>
              </w:rPr>
              <w:t>《2020年国家公务员考试 行测 常识判断》：常识判断是公务员考试行政职业能力测验科目中的一种考试题型，主要测查报考者应知应会的基本知识以及运用这些知识分析判断的基本能力，重点测查对国情社情的了解程度、综合管理基本素质等，涉及政治、经济、法律、历史、文化、地理、环境、自然、科技等方面。</w:t>
            </w:r>
          </w:p>
          <w:p>
            <w:pPr>
              <w:ind w:firstLine="440" w:firstLineChars="200"/>
              <w:jc w:val="left"/>
              <w:rPr>
                <w:rFonts w:ascii="宋体" w:hAnsi="宋体" w:cs="宋体"/>
                <w:color w:val="000000"/>
                <w:sz w:val="22"/>
              </w:rPr>
            </w:pPr>
            <w:r>
              <w:rPr>
                <w:rFonts w:hint="eastAsia" w:ascii="宋体" w:hAnsi="宋体" w:cs="宋体"/>
                <w:color w:val="2F5597" w:themeColor="accent1" w:themeShade="BF"/>
                <w:sz w:val="22"/>
              </w:rPr>
              <w:t>课程分类：行测</w:t>
            </w:r>
          </w:p>
        </w:tc>
      </w:tr>
      <w:tr>
        <w:tblPrEx>
          <w:tblBorders>
            <w:top w:val="single" w:color="262626" w:themeColor="text1" w:themeTint="D8" w:sz="4" w:space="0"/>
            <w:left w:val="single" w:color="262626" w:themeColor="text1" w:themeTint="D8" w:sz="4" w:space="0"/>
            <w:bottom w:val="single" w:color="262626" w:themeColor="text1" w:themeTint="D8" w:sz="4" w:space="0"/>
            <w:right w:val="single" w:color="262626" w:themeColor="text1" w:themeTint="D8" w:sz="4" w:space="0"/>
            <w:insideH w:val="none" w:color="auto" w:sz="0" w:space="0"/>
            <w:insideV w:val="none" w:color="auto" w:sz="0" w:space="0"/>
          </w:tblBorders>
          <w:tblCellMar>
            <w:top w:w="0" w:type="dxa"/>
            <w:left w:w="0" w:type="dxa"/>
            <w:bottom w:w="0" w:type="dxa"/>
            <w:right w:w="0" w:type="dxa"/>
          </w:tblCellMar>
        </w:tblPrEx>
        <w:trPr>
          <w:trHeight w:val="354" w:hRule="atLeast"/>
          <w:jc w:val="center"/>
        </w:trPr>
        <w:tc>
          <w:tcPr>
            <w:tcW w:w="1290" w:type="dxa"/>
            <w:vMerge w:val="continue"/>
            <w:tcBorders>
              <w:tl2br w:val="nil"/>
              <w:tr2bl w:val="nil"/>
            </w:tcBorders>
            <w:shd w:val="clear" w:color="auto" w:fill="auto"/>
            <w:noWrap/>
            <w:tcMar>
              <w:top w:w="12" w:type="dxa"/>
              <w:left w:w="12" w:type="dxa"/>
              <w:right w:w="12" w:type="dxa"/>
            </w:tcMar>
            <w:vAlign w:val="center"/>
          </w:tcPr>
          <w:p>
            <w:pPr>
              <w:jc w:val="center"/>
              <w:rPr>
                <w:rFonts w:ascii="宋体" w:hAnsi="宋体" w:cs="宋体"/>
                <w:color w:val="000000"/>
                <w:sz w:val="22"/>
              </w:rPr>
            </w:pPr>
          </w:p>
        </w:tc>
        <w:tc>
          <w:tcPr>
            <w:tcW w:w="1261" w:type="dxa"/>
            <w:vMerge w:val="continue"/>
            <w:tcBorders>
              <w:tl2br w:val="nil"/>
              <w:tr2bl w:val="nil"/>
            </w:tcBorders>
            <w:shd w:val="clear" w:color="auto" w:fill="auto"/>
            <w:noWrap/>
            <w:tcMar>
              <w:top w:w="12" w:type="dxa"/>
              <w:left w:w="12" w:type="dxa"/>
              <w:right w:w="12" w:type="dxa"/>
            </w:tcMar>
            <w:vAlign w:val="center"/>
          </w:tcPr>
          <w:p>
            <w:pPr>
              <w:jc w:val="center"/>
              <w:rPr>
                <w:rFonts w:ascii="宋体" w:hAnsi="宋体" w:cs="宋体"/>
                <w:color w:val="000000"/>
                <w:sz w:val="22"/>
              </w:rPr>
            </w:pPr>
          </w:p>
        </w:tc>
        <w:tc>
          <w:tcPr>
            <w:tcW w:w="6362" w:type="dxa"/>
            <w:tcBorders>
              <w:tl2br w:val="nil"/>
              <w:tr2bl w:val="nil"/>
            </w:tcBorders>
            <w:shd w:val="clear" w:color="auto" w:fill="auto"/>
            <w:noWrap/>
            <w:tcMar>
              <w:top w:w="12" w:type="dxa"/>
              <w:left w:w="12" w:type="dxa"/>
              <w:right w:w="12" w:type="dxa"/>
            </w:tcMar>
            <w:vAlign w:val="center"/>
          </w:tcPr>
          <w:p>
            <w:pPr>
              <w:ind w:firstLine="440" w:firstLineChars="200"/>
              <w:jc w:val="left"/>
              <w:rPr>
                <w:rFonts w:ascii="宋体" w:hAnsi="宋体" w:cs="宋体"/>
                <w:color w:val="000000"/>
                <w:sz w:val="22"/>
              </w:rPr>
            </w:pPr>
            <w:r>
              <w:rPr>
                <w:rFonts w:hint="eastAsia" w:ascii="宋体" w:hAnsi="宋体" w:cs="宋体"/>
                <w:color w:val="000000"/>
                <w:sz w:val="22"/>
              </w:rPr>
              <w:t>《2020年国家公务员考试行测言语理解与表达》：语理解与表达是公务员笔试中行测的一类题型。着重考查考生对语言文字的综合分析能力。</w:t>
            </w:r>
          </w:p>
          <w:p>
            <w:pPr>
              <w:ind w:firstLine="440" w:firstLineChars="200"/>
              <w:jc w:val="left"/>
              <w:rPr>
                <w:rFonts w:ascii="宋体" w:hAnsi="宋体" w:cs="宋体"/>
                <w:color w:val="000000"/>
                <w:sz w:val="22"/>
              </w:rPr>
            </w:pPr>
            <w:r>
              <w:rPr>
                <w:rFonts w:hint="eastAsia" w:ascii="宋体" w:hAnsi="宋体" w:cs="宋体"/>
                <w:color w:val="2F5597" w:themeColor="accent1" w:themeShade="BF"/>
                <w:sz w:val="22"/>
              </w:rPr>
              <w:t>课程分类：行测</w:t>
            </w:r>
          </w:p>
        </w:tc>
      </w:tr>
      <w:tr>
        <w:tblPrEx>
          <w:tblBorders>
            <w:top w:val="single" w:color="262626" w:themeColor="text1" w:themeTint="D8" w:sz="4" w:space="0"/>
            <w:left w:val="single" w:color="262626" w:themeColor="text1" w:themeTint="D8" w:sz="4" w:space="0"/>
            <w:bottom w:val="single" w:color="262626" w:themeColor="text1" w:themeTint="D8" w:sz="4" w:space="0"/>
            <w:right w:val="single" w:color="262626" w:themeColor="text1" w:themeTint="D8" w:sz="4" w:space="0"/>
            <w:insideH w:val="none" w:color="auto" w:sz="0" w:space="0"/>
            <w:insideV w:val="none" w:color="auto" w:sz="0" w:space="0"/>
          </w:tblBorders>
          <w:tblCellMar>
            <w:top w:w="0" w:type="dxa"/>
            <w:left w:w="0" w:type="dxa"/>
            <w:bottom w:w="0" w:type="dxa"/>
            <w:right w:w="0" w:type="dxa"/>
          </w:tblCellMar>
        </w:tblPrEx>
        <w:trPr>
          <w:trHeight w:val="354" w:hRule="atLeast"/>
          <w:jc w:val="center"/>
        </w:trPr>
        <w:tc>
          <w:tcPr>
            <w:tcW w:w="1290" w:type="dxa"/>
            <w:vMerge w:val="continue"/>
            <w:tcBorders>
              <w:tl2br w:val="nil"/>
              <w:tr2bl w:val="nil"/>
            </w:tcBorders>
            <w:shd w:val="clear" w:color="auto" w:fill="auto"/>
            <w:noWrap/>
            <w:tcMar>
              <w:top w:w="12" w:type="dxa"/>
              <w:left w:w="12" w:type="dxa"/>
              <w:right w:w="12" w:type="dxa"/>
            </w:tcMar>
            <w:vAlign w:val="center"/>
          </w:tcPr>
          <w:p>
            <w:pPr>
              <w:jc w:val="center"/>
              <w:rPr>
                <w:rFonts w:ascii="宋体" w:hAnsi="宋体" w:cs="宋体"/>
                <w:color w:val="000000"/>
                <w:sz w:val="22"/>
              </w:rPr>
            </w:pPr>
          </w:p>
        </w:tc>
        <w:tc>
          <w:tcPr>
            <w:tcW w:w="1261" w:type="dxa"/>
            <w:vMerge w:val="continue"/>
            <w:tcBorders>
              <w:tl2br w:val="nil"/>
              <w:tr2bl w:val="nil"/>
            </w:tcBorders>
            <w:shd w:val="clear" w:color="auto" w:fill="auto"/>
            <w:noWrap/>
            <w:tcMar>
              <w:top w:w="12" w:type="dxa"/>
              <w:left w:w="12" w:type="dxa"/>
              <w:right w:w="12" w:type="dxa"/>
            </w:tcMar>
            <w:vAlign w:val="center"/>
          </w:tcPr>
          <w:p>
            <w:pPr>
              <w:jc w:val="center"/>
              <w:rPr>
                <w:rFonts w:ascii="宋体" w:hAnsi="宋体" w:cs="宋体"/>
                <w:color w:val="000000"/>
                <w:sz w:val="22"/>
              </w:rPr>
            </w:pPr>
          </w:p>
        </w:tc>
        <w:tc>
          <w:tcPr>
            <w:tcW w:w="6362" w:type="dxa"/>
            <w:tcBorders>
              <w:tl2br w:val="nil"/>
              <w:tr2bl w:val="nil"/>
            </w:tcBorders>
            <w:shd w:val="clear" w:color="auto" w:fill="auto"/>
            <w:noWrap/>
            <w:tcMar>
              <w:top w:w="12" w:type="dxa"/>
              <w:left w:w="12" w:type="dxa"/>
              <w:right w:w="12" w:type="dxa"/>
            </w:tcMar>
            <w:vAlign w:val="center"/>
          </w:tcPr>
          <w:p>
            <w:pPr>
              <w:ind w:firstLine="440" w:firstLineChars="200"/>
              <w:jc w:val="left"/>
              <w:rPr>
                <w:rFonts w:ascii="宋体" w:hAnsi="宋体" w:cs="宋体"/>
                <w:color w:val="000000"/>
                <w:sz w:val="22"/>
              </w:rPr>
            </w:pPr>
            <w:r>
              <w:rPr>
                <w:rFonts w:hint="eastAsia" w:ascii="宋体" w:hAnsi="宋体" w:cs="宋体"/>
                <w:color w:val="000000"/>
                <w:sz w:val="22"/>
              </w:rPr>
              <w:t>《2020年国家公务员考试行测数量关系》：数量关系主要测查应考人员对基本数量关系的理解能力、数学运算能力，对数字排列顺序或排列规律的判断识别能力等。常见的题型有：数字推理、数学运算等。本课程通过老师的详细考点讲解和习题练习，为考生提供了最佳的复习资料。</w:t>
            </w:r>
          </w:p>
          <w:p>
            <w:pPr>
              <w:ind w:firstLine="440" w:firstLineChars="200"/>
              <w:jc w:val="left"/>
              <w:rPr>
                <w:rFonts w:ascii="宋体" w:hAnsi="宋体" w:cs="宋体"/>
                <w:color w:val="000000"/>
                <w:sz w:val="22"/>
              </w:rPr>
            </w:pPr>
            <w:r>
              <w:rPr>
                <w:rFonts w:hint="eastAsia" w:ascii="宋体" w:hAnsi="宋体" w:cs="宋体"/>
                <w:color w:val="2F5597" w:themeColor="accent1" w:themeShade="BF"/>
                <w:sz w:val="22"/>
              </w:rPr>
              <w:t>课程分类：行测</w:t>
            </w:r>
          </w:p>
        </w:tc>
      </w:tr>
      <w:tr>
        <w:tblPrEx>
          <w:tblBorders>
            <w:top w:val="single" w:color="262626" w:themeColor="text1" w:themeTint="D8" w:sz="4" w:space="0"/>
            <w:left w:val="single" w:color="262626" w:themeColor="text1" w:themeTint="D8" w:sz="4" w:space="0"/>
            <w:bottom w:val="single" w:color="262626" w:themeColor="text1" w:themeTint="D8" w:sz="4" w:space="0"/>
            <w:right w:val="single" w:color="262626" w:themeColor="text1" w:themeTint="D8" w:sz="4" w:space="0"/>
            <w:insideH w:val="none" w:color="auto" w:sz="0" w:space="0"/>
            <w:insideV w:val="none" w:color="auto" w:sz="0" w:space="0"/>
          </w:tblBorders>
          <w:tblCellMar>
            <w:top w:w="0" w:type="dxa"/>
            <w:left w:w="0" w:type="dxa"/>
            <w:bottom w:w="0" w:type="dxa"/>
            <w:right w:w="0" w:type="dxa"/>
          </w:tblCellMar>
        </w:tblPrEx>
        <w:trPr>
          <w:trHeight w:val="354" w:hRule="atLeast"/>
          <w:jc w:val="center"/>
        </w:trPr>
        <w:tc>
          <w:tcPr>
            <w:tcW w:w="1290" w:type="dxa"/>
            <w:vMerge w:val="continue"/>
            <w:tcBorders>
              <w:tl2br w:val="nil"/>
              <w:tr2bl w:val="nil"/>
            </w:tcBorders>
            <w:shd w:val="clear" w:color="auto" w:fill="auto"/>
            <w:noWrap/>
            <w:tcMar>
              <w:top w:w="12" w:type="dxa"/>
              <w:left w:w="12" w:type="dxa"/>
              <w:right w:w="12" w:type="dxa"/>
            </w:tcMar>
            <w:vAlign w:val="center"/>
          </w:tcPr>
          <w:p>
            <w:pPr>
              <w:jc w:val="center"/>
              <w:rPr>
                <w:rFonts w:ascii="宋体" w:hAnsi="宋体" w:cs="宋体"/>
                <w:color w:val="000000"/>
                <w:sz w:val="22"/>
              </w:rPr>
            </w:pPr>
          </w:p>
        </w:tc>
        <w:tc>
          <w:tcPr>
            <w:tcW w:w="1261" w:type="dxa"/>
            <w:vMerge w:val="continue"/>
            <w:tcBorders>
              <w:tl2br w:val="nil"/>
              <w:tr2bl w:val="nil"/>
            </w:tcBorders>
            <w:shd w:val="clear" w:color="auto" w:fill="auto"/>
            <w:noWrap/>
            <w:tcMar>
              <w:top w:w="12" w:type="dxa"/>
              <w:left w:w="12" w:type="dxa"/>
              <w:right w:w="12" w:type="dxa"/>
            </w:tcMar>
            <w:vAlign w:val="center"/>
          </w:tcPr>
          <w:p>
            <w:pPr>
              <w:jc w:val="center"/>
              <w:rPr>
                <w:rFonts w:ascii="宋体" w:hAnsi="宋体" w:cs="宋体"/>
                <w:color w:val="000000"/>
                <w:sz w:val="22"/>
              </w:rPr>
            </w:pPr>
          </w:p>
        </w:tc>
        <w:tc>
          <w:tcPr>
            <w:tcW w:w="6362" w:type="dxa"/>
            <w:tcBorders>
              <w:tl2br w:val="nil"/>
              <w:tr2bl w:val="nil"/>
            </w:tcBorders>
            <w:shd w:val="clear" w:color="auto" w:fill="auto"/>
            <w:noWrap/>
            <w:tcMar>
              <w:top w:w="12" w:type="dxa"/>
              <w:left w:w="12" w:type="dxa"/>
              <w:right w:w="12" w:type="dxa"/>
            </w:tcMar>
            <w:vAlign w:val="center"/>
          </w:tcPr>
          <w:p>
            <w:pPr>
              <w:ind w:firstLine="440" w:firstLineChars="200"/>
              <w:jc w:val="left"/>
              <w:rPr>
                <w:rFonts w:ascii="宋体" w:hAnsi="宋体" w:cs="宋体"/>
                <w:color w:val="000000"/>
                <w:sz w:val="22"/>
              </w:rPr>
            </w:pPr>
            <w:r>
              <w:rPr>
                <w:rFonts w:hint="eastAsia" w:ascii="宋体" w:hAnsi="宋体" w:cs="宋体"/>
                <w:color w:val="000000"/>
                <w:sz w:val="22"/>
              </w:rPr>
              <w:t>《2020年国家公务员考试行测资料分析》：公务员行测资料分析这一个板块无论是在国考试卷还是各个省份的省考试卷中都有涉及，相对于数量关系这个板块来说，资料分析是投入产出比更高。</w:t>
            </w:r>
          </w:p>
          <w:p>
            <w:pPr>
              <w:ind w:firstLine="440" w:firstLineChars="200"/>
              <w:jc w:val="left"/>
              <w:rPr>
                <w:rFonts w:ascii="宋体" w:hAnsi="宋体" w:cs="宋体"/>
                <w:color w:val="000000"/>
                <w:sz w:val="22"/>
              </w:rPr>
            </w:pPr>
            <w:r>
              <w:rPr>
                <w:rFonts w:hint="eastAsia" w:ascii="宋体" w:hAnsi="宋体" w:cs="宋体"/>
                <w:color w:val="2F5597" w:themeColor="accent1" w:themeShade="BF"/>
                <w:sz w:val="22"/>
              </w:rPr>
              <w:t>课程分类：行测</w:t>
            </w:r>
          </w:p>
        </w:tc>
      </w:tr>
      <w:tr>
        <w:tblPrEx>
          <w:tblBorders>
            <w:top w:val="single" w:color="262626" w:themeColor="text1" w:themeTint="D8" w:sz="4" w:space="0"/>
            <w:left w:val="single" w:color="262626" w:themeColor="text1" w:themeTint="D8" w:sz="4" w:space="0"/>
            <w:bottom w:val="single" w:color="262626" w:themeColor="text1" w:themeTint="D8" w:sz="4" w:space="0"/>
            <w:right w:val="single" w:color="262626" w:themeColor="text1" w:themeTint="D8" w:sz="4" w:space="0"/>
            <w:insideH w:val="none" w:color="auto" w:sz="0" w:space="0"/>
            <w:insideV w:val="none" w:color="auto" w:sz="0" w:space="0"/>
          </w:tblBorders>
          <w:tblCellMar>
            <w:top w:w="0" w:type="dxa"/>
            <w:left w:w="0" w:type="dxa"/>
            <w:bottom w:w="0" w:type="dxa"/>
            <w:right w:w="0" w:type="dxa"/>
          </w:tblCellMar>
        </w:tblPrEx>
        <w:trPr>
          <w:trHeight w:val="354" w:hRule="atLeast"/>
          <w:jc w:val="center"/>
        </w:trPr>
        <w:tc>
          <w:tcPr>
            <w:tcW w:w="1290" w:type="dxa"/>
            <w:vMerge w:val="continue"/>
            <w:tcBorders>
              <w:tl2br w:val="nil"/>
              <w:tr2bl w:val="nil"/>
            </w:tcBorders>
            <w:shd w:val="clear" w:color="auto" w:fill="auto"/>
            <w:noWrap/>
            <w:tcMar>
              <w:top w:w="12" w:type="dxa"/>
              <w:left w:w="12" w:type="dxa"/>
              <w:right w:w="12" w:type="dxa"/>
            </w:tcMar>
            <w:vAlign w:val="center"/>
          </w:tcPr>
          <w:p>
            <w:pPr>
              <w:jc w:val="center"/>
              <w:rPr>
                <w:rFonts w:ascii="宋体" w:hAnsi="宋体" w:cs="宋体"/>
                <w:color w:val="000000"/>
                <w:sz w:val="22"/>
              </w:rPr>
            </w:pPr>
          </w:p>
        </w:tc>
        <w:tc>
          <w:tcPr>
            <w:tcW w:w="1261" w:type="dxa"/>
            <w:vMerge w:val="continue"/>
            <w:tcBorders>
              <w:tl2br w:val="nil"/>
              <w:tr2bl w:val="nil"/>
            </w:tcBorders>
            <w:shd w:val="clear" w:color="auto" w:fill="auto"/>
            <w:noWrap/>
            <w:tcMar>
              <w:top w:w="12" w:type="dxa"/>
              <w:left w:w="12" w:type="dxa"/>
              <w:right w:w="12" w:type="dxa"/>
            </w:tcMar>
            <w:vAlign w:val="center"/>
          </w:tcPr>
          <w:p>
            <w:pPr>
              <w:jc w:val="center"/>
              <w:rPr>
                <w:rFonts w:ascii="宋体" w:hAnsi="宋体" w:cs="宋体"/>
                <w:color w:val="000000"/>
                <w:sz w:val="22"/>
              </w:rPr>
            </w:pPr>
          </w:p>
        </w:tc>
        <w:tc>
          <w:tcPr>
            <w:tcW w:w="6362" w:type="dxa"/>
            <w:tcBorders>
              <w:tl2br w:val="nil"/>
              <w:tr2bl w:val="nil"/>
            </w:tcBorders>
            <w:shd w:val="clear" w:color="auto" w:fill="auto"/>
            <w:noWrap/>
            <w:tcMar>
              <w:top w:w="12" w:type="dxa"/>
              <w:left w:w="12" w:type="dxa"/>
              <w:right w:w="12" w:type="dxa"/>
            </w:tcMar>
            <w:vAlign w:val="center"/>
          </w:tcPr>
          <w:p>
            <w:pPr>
              <w:ind w:firstLine="440" w:firstLineChars="200"/>
              <w:jc w:val="left"/>
              <w:rPr>
                <w:rFonts w:ascii="宋体" w:hAnsi="宋体" w:cs="宋体"/>
                <w:color w:val="000000"/>
                <w:sz w:val="22"/>
              </w:rPr>
            </w:pPr>
            <w:r>
              <w:rPr>
                <w:rFonts w:hint="eastAsia" w:ascii="宋体" w:hAnsi="宋体" w:cs="宋体"/>
                <w:color w:val="000000"/>
                <w:sz w:val="22"/>
              </w:rPr>
              <w:t>《2020年国家公务员考试申论》：申论考试为考生提供了一系列反映特定实际问题的文字材料，要求考生仔细阅读这些材料，概括出它们反映的主要问题，并提出解决此问题的实际方案，最后再对自己的观点进行较详细的阐述和论证。</w:t>
            </w:r>
          </w:p>
          <w:p>
            <w:pPr>
              <w:ind w:firstLine="440" w:firstLineChars="200"/>
              <w:jc w:val="left"/>
              <w:rPr>
                <w:rFonts w:ascii="宋体" w:hAnsi="宋体" w:cs="宋体"/>
                <w:color w:val="000000"/>
                <w:sz w:val="22"/>
              </w:rPr>
            </w:pPr>
            <w:r>
              <w:rPr>
                <w:rFonts w:hint="eastAsia" w:ascii="宋体" w:hAnsi="宋体" w:cs="宋体"/>
                <w:color w:val="2F5597" w:themeColor="accent1" w:themeShade="BF"/>
                <w:sz w:val="22"/>
              </w:rPr>
              <w:t>课程分类：申论</w:t>
            </w:r>
          </w:p>
        </w:tc>
      </w:tr>
      <w:tr>
        <w:tblPrEx>
          <w:tblBorders>
            <w:top w:val="single" w:color="262626" w:themeColor="text1" w:themeTint="D8" w:sz="4" w:space="0"/>
            <w:left w:val="single" w:color="262626" w:themeColor="text1" w:themeTint="D8" w:sz="4" w:space="0"/>
            <w:bottom w:val="single" w:color="262626" w:themeColor="text1" w:themeTint="D8" w:sz="4" w:space="0"/>
            <w:right w:val="single" w:color="262626" w:themeColor="text1" w:themeTint="D8" w:sz="4" w:space="0"/>
            <w:insideH w:val="none" w:color="auto" w:sz="0" w:space="0"/>
            <w:insideV w:val="none" w:color="auto" w:sz="0" w:space="0"/>
          </w:tblBorders>
          <w:tblCellMar>
            <w:top w:w="0" w:type="dxa"/>
            <w:left w:w="0" w:type="dxa"/>
            <w:bottom w:w="0" w:type="dxa"/>
            <w:right w:w="0" w:type="dxa"/>
          </w:tblCellMar>
        </w:tblPrEx>
        <w:trPr>
          <w:trHeight w:val="354" w:hRule="atLeast"/>
          <w:jc w:val="center"/>
        </w:trPr>
        <w:tc>
          <w:tcPr>
            <w:tcW w:w="1290" w:type="dxa"/>
            <w:vMerge w:val="restart"/>
            <w:tcBorders>
              <w:tl2br w:val="nil"/>
              <w:tr2bl w:val="nil"/>
            </w:tcBorders>
            <w:shd w:val="clear" w:color="auto" w:fill="auto"/>
            <w:noWrap/>
            <w:tcMar>
              <w:top w:w="12" w:type="dxa"/>
              <w:left w:w="12" w:type="dxa"/>
              <w:right w:w="12" w:type="dxa"/>
            </w:tcMar>
            <w:vAlign w:val="center"/>
          </w:tcPr>
          <w:p>
            <w:pPr>
              <w:jc w:val="center"/>
              <w:rPr>
                <w:rFonts w:ascii="宋体" w:hAnsi="宋体" w:cs="宋体"/>
                <w:color w:val="000000"/>
                <w:kern w:val="0"/>
                <w:sz w:val="22"/>
                <w:lang w:bidi="ar"/>
              </w:rPr>
            </w:pPr>
            <w:r>
              <w:rPr>
                <w:rFonts w:hint="eastAsia" w:ascii="宋体" w:hAnsi="宋体" w:cs="宋体"/>
                <w:color w:val="000000"/>
                <w:sz w:val="22"/>
              </w:rPr>
              <w:t>职</w:t>
            </w:r>
            <w:r>
              <w:rPr>
                <w:rFonts w:hint="eastAsia" w:ascii="宋体" w:hAnsi="宋体" w:cs="宋体"/>
                <w:color w:val="000000"/>
                <w:kern w:val="0"/>
                <w:sz w:val="22"/>
                <w:lang w:bidi="ar"/>
              </w:rPr>
              <w:t>业考证</w:t>
            </w:r>
          </w:p>
          <w:p>
            <w:pPr>
              <w:jc w:val="center"/>
              <w:rPr>
                <w:rFonts w:ascii="宋体" w:hAnsi="宋体" w:cs="宋体"/>
                <w:color w:val="000000"/>
                <w:kern w:val="0"/>
                <w:sz w:val="22"/>
                <w:lang w:bidi="ar"/>
              </w:rPr>
            </w:pPr>
            <w:r>
              <w:rPr>
                <w:rFonts w:hint="eastAsia" w:ascii="宋体" w:hAnsi="宋体" w:cs="宋体"/>
                <w:color w:val="000000"/>
                <w:kern w:val="0"/>
                <w:sz w:val="22"/>
                <w:lang w:bidi="ar"/>
              </w:rPr>
              <w:t>479篇</w:t>
            </w:r>
          </w:p>
          <w:p>
            <w:pPr>
              <w:jc w:val="center"/>
              <w:rPr>
                <w:rFonts w:ascii="宋体" w:hAnsi="宋体" w:cs="宋体"/>
                <w:color w:val="000000"/>
                <w:kern w:val="0"/>
                <w:sz w:val="22"/>
                <w:lang w:bidi="ar"/>
              </w:rPr>
            </w:pPr>
            <w:r>
              <w:rPr>
                <w:rFonts w:hint="eastAsia" w:ascii="宋体" w:hAnsi="宋体" w:cs="宋体"/>
                <w:color w:val="000000"/>
                <w:kern w:val="0"/>
                <w:sz w:val="22"/>
                <w:lang w:bidi="ar"/>
              </w:rPr>
              <w:t>32.0%</w:t>
            </w:r>
          </w:p>
        </w:tc>
        <w:tc>
          <w:tcPr>
            <w:tcW w:w="1261" w:type="dxa"/>
            <w:vMerge w:val="restart"/>
            <w:tcBorders>
              <w:tl2br w:val="nil"/>
              <w:tr2bl w:val="nil"/>
            </w:tcBorders>
            <w:shd w:val="clear" w:color="auto" w:fill="auto"/>
            <w:noWrap/>
            <w:tcMar>
              <w:top w:w="12" w:type="dxa"/>
              <w:left w:w="12" w:type="dxa"/>
              <w:right w:w="12" w:type="dxa"/>
            </w:tcMar>
            <w:vAlign w:val="center"/>
          </w:tcPr>
          <w:p>
            <w:pPr>
              <w:jc w:val="center"/>
              <w:rPr>
                <w:rFonts w:ascii="宋体" w:hAnsi="宋体" w:cs="宋体"/>
                <w:color w:val="000000"/>
                <w:sz w:val="22"/>
              </w:rPr>
            </w:pPr>
            <w:r>
              <w:rPr>
                <w:rFonts w:ascii="Arial" w:hAnsi="Arial" w:cs="Arial"/>
                <w:color w:val="000000"/>
                <w:kern w:val="0"/>
                <w:sz w:val="20"/>
                <w:szCs w:val="20"/>
                <w:lang w:bidi="ar"/>
              </w:rPr>
              <w:t>公职考试</w:t>
            </w:r>
          </w:p>
        </w:tc>
        <w:tc>
          <w:tcPr>
            <w:tcW w:w="6362" w:type="dxa"/>
            <w:tcBorders>
              <w:tl2br w:val="nil"/>
              <w:tr2bl w:val="nil"/>
            </w:tcBorders>
            <w:shd w:val="clear" w:color="auto" w:fill="auto"/>
            <w:noWrap/>
            <w:tcMar>
              <w:top w:w="12" w:type="dxa"/>
              <w:left w:w="12" w:type="dxa"/>
              <w:right w:w="12" w:type="dxa"/>
            </w:tcMar>
            <w:vAlign w:val="center"/>
          </w:tcPr>
          <w:p>
            <w:pPr>
              <w:ind w:firstLine="440" w:firstLineChars="200"/>
              <w:jc w:val="left"/>
              <w:rPr>
                <w:rFonts w:ascii="宋体" w:hAnsi="宋体" w:cs="宋体"/>
                <w:color w:val="000000"/>
                <w:sz w:val="22"/>
              </w:rPr>
            </w:pPr>
            <w:r>
              <w:rPr>
                <w:rFonts w:hint="eastAsia" w:ascii="宋体" w:hAnsi="宋体" w:cs="宋体"/>
                <w:color w:val="000000"/>
                <w:sz w:val="22"/>
              </w:rPr>
              <w:t>《社会工作者职业水平考试 社会工作法规与政策精讲（中级）》：本课程是由王小兰老师主讲的社会工作法规与政策精讲，主要内容包括：社会政策的特点、目标及体系；社会政策的运行；我国社会救助政策法规；我国特定人群的社会政策法规；我国婚姻家庭政策法规；我国社区矫正与人民调解政策法规；我国社区建设与管理政策法规等。</w:t>
            </w:r>
          </w:p>
          <w:p>
            <w:pPr>
              <w:ind w:firstLine="440" w:firstLineChars="200"/>
              <w:jc w:val="left"/>
              <w:rPr>
                <w:rFonts w:ascii="宋体" w:hAnsi="宋体" w:cs="宋体"/>
                <w:color w:val="000000"/>
                <w:sz w:val="22"/>
              </w:rPr>
            </w:pPr>
            <w:r>
              <w:rPr>
                <w:rFonts w:hint="eastAsia" w:ascii="宋体" w:hAnsi="宋体" w:cs="宋体"/>
                <w:color w:val="2F5597" w:themeColor="accent1" w:themeShade="BF"/>
                <w:sz w:val="22"/>
              </w:rPr>
              <w:t>课程分类：社会工作者</w:t>
            </w:r>
          </w:p>
        </w:tc>
      </w:tr>
      <w:tr>
        <w:tblPrEx>
          <w:tblBorders>
            <w:top w:val="single" w:color="262626" w:themeColor="text1" w:themeTint="D8" w:sz="4" w:space="0"/>
            <w:left w:val="single" w:color="262626" w:themeColor="text1" w:themeTint="D8" w:sz="4" w:space="0"/>
            <w:bottom w:val="single" w:color="262626" w:themeColor="text1" w:themeTint="D8" w:sz="4" w:space="0"/>
            <w:right w:val="single" w:color="262626" w:themeColor="text1" w:themeTint="D8" w:sz="4" w:space="0"/>
            <w:insideH w:val="none" w:color="auto" w:sz="0" w:space="0"/>
            <w:insideV w:val="none" w:color="auto" w:sz="0" w:space="0"/>
          </w:tblBorders>
          <w:tblCellMar>
            <w:top w:w="0" w:type="dxa"/>
            <w:left w:w="0" w:type="dxa"/>
            <w:bottom w:w="0" w:type="dxa"/>
            <w:right w:w="0" w:type="dxa"/>
          </w:tblCellMar>
        </w:tblPrEx>
        <w:trPr>
          <w:trHeight w:val="354" w:hRule="atLeast"/>
          <w:jc w:val="center"/>
        </w:trPr>
        <w:tc>
          <w:tcPr>
            <w:tcW w:w="1290" w:type="dxa"/>
            <w:vMerge w:val="continue"/>
            <w:tcBorders>
              <w:tl2br w:val="nil"/>
              <w:tr2bl w:val="nil"/>
            </w:tcBorders>
            <w:shd w:val="clear" w:color="auto" w:fill="auto"/>
            <w:noWrap/>
            <w:tcMar>
              <w:top w:w="12" w:type="dxa"/>
              <w:left w:w="12" w:type="dxa"/>
              <w:right w:w="12" w:type="dxa"/>
            </w:tcMar>
            <w:vAlign w:val="center"/>
          </w:tcPr>
          <w:p>
            <w:pPr>
              <w:jc w:val="center"/>
              <w:rPr>
                <w:rFonts w:ascii="宋体" w:hAnsi="宋体" w:cs="宋体"/>
                <w:color w:val="000000"/>
                <w:sz w:val="22"/>
              </w:rPr>
            </w:pPr>
          </w:p>
        </w:tc>
        <w:tc>
          <w:tcPr>
            <w:tcW w:w="1261" w:type="dxa"/>
            <w:vMerge w:val="continue"/>
            <w:tcBorders>
              <w:tl2br w:val="nil"/>
              <w:tr2bl w:val="nil"/>
            </w:tcBorders>
            <w:shd w:val="clear" w:color="auto" w:fill="auto"/>
            <w:noWrap/>
            <w:tcMar>
              <w:top w:w="12" w:type="dxa"/>
              <w:left w:w="12" w:type="dxa"/>
              <w:right w:w="12" w:type="dxa"/>
            </w:tcMar>
            <w:vAlign w:val="center"/>
          </w:tcPr>
          <w:p>
            <w:pPr>
              <w:jc w:val="center"/>
              <w:rPr>
                <w:rFonts w:ascii="Arial" w:hAnsi="Arial" w:cs="Arial"/>
                <w:color w:val="000000"/>
                <w:kern w:val="0"/>
                <w:sz w:val="20"/>
                <w:szCs w:val="20"/>
                <w:lang w:bidi="ar"/>
              </w:rPr>
            </w:pPr>
          </w:p>
        </w:tc>
        <w:tc>
          <w:tcPr>
            <w:tcW w:w="6362" w:type="dxa"/>
            <w:tcBorders>
              <w:tl2br w:val="nil"/>
              <w:tr2bl w:val="nil"/>
            </w:tcBorders>
            <w:shd w:val="clear" w:color="auto" w:fill="auto"/>
            <w:noWrap/>
            <w:tcMar>
              <w:top w:w="12" w:type="dxa"/>
              <w:left w:w="12" w:type="dxa"/>
              <w:right w:w="12" w:type="dxa"/>
            </w:tcMar>
            <w:vAlign w:val="center"/>
          </w:tcPr>
          <w:p>
            <w:pPr>
              <w:ind w:firstLine="440" w:firstLineChars="200"/>
              <w:jc w:val="left"/>
              <w:rPr>
                <w:rFonts w:ascii="宋体" w:hAnsi="宋体" w:cs="宋体"/>
                <w:color w:val="000000"/>
                <w:sz w:val="22"/>
              </w:rPr>
            </w:pPr>
            <w:r>
              <w:rPr>
                <w:rFonts w:hint="eastAsia" w:ascii="宋体" w:hAnsi="宋体" w:cs="宋体"/>
                <w:color w:val="000000"/>
                <w:sz w:val="22"/>
              </w:rPr>
              <w:t>《社会工作者职业水平考试 社会工作实务精讲（中级）》：本课程是由王小兰老师主讲的社会工作实务精讲，首先分析了本课程历年各章节的主要考点，接着具体讲述了社会工作实务的通用过程模式，社会工作实务的通用过程，然后分别讲述了儿童社会工作、老年社会工作、妇女社会工作、残疾人社会工作等。</w:t>
            </w:r>
          </w:p>
          <w:p>
            <w:pPr>
              <w:ind w:firstLine="440" w:firstLineChars="200"/>
              <w:jc w:val="left"/>
              <w:rPr>
                <w:rFonts w:ascii="宋体" w:hAnsi="宋体" w:cs="宋体"/>
                <w:color w:val="000000"/>
                <w:sz w:val="22"/>
              </w:rPr>
            </w:pPr>
            <w:r>
              <w:rPr>
                <w:rFonts w:hint="eastAsia" w:ascii="宋体" w:hAnsi="宋体" w:cs="宋体"/>
                <w:color w:val="2F5597" w:themeColor="accent1" w:themeShade="BF"/>
                <w:sz w:val="22"/>
              </w:rPr>
              <w:t>课程分类：社会工作者</w:t>
            </w:r>
          </w:p>
        </w:tc>
      </w:tr>
      <w:tr>
        <w:tblPrEx>
          <w:tblBorders>
            <w:top w:val="single" w:color="262626" w:themeColor="text1" w:themeTint="D8" w:sz="4" w:space="0"/>
            <w:left w:val="single" w:color="262626" w:themeColor="text1" w:themeTint="D8" w:sz="4" w:space="0"/>
            <w:bottom w:val="single" w:color="262626" w:themeColor="text1" w:themeTint="D8" w:sz="4" w:space="0"/>
            <w:right w:val="single" w:color="262626" w:themeColor="text1" w:themeTint="D8" w:sz="4" w:space="0"/>
            <w:insideH w:val="none" w:color="auto" w:sz="0" w:space="0"/>
            <w:insideV w:val="none" w:color="auto" w:sz="0" w:space="0"/>
          </w:tblBorders>
          <w:tblCellMar>
            <w:top w:w="0" w:type="dxa"/>
            <w:left w:w="0" w:type="dxa"/>
            <w:bottom w:w="0" w:type="dxa"/>
            <w:right w:w="0" w:type="dxa"/>
          </w:tblCellMar>
        </w:tblPrEx>
        <w:trPr>
          <w:trHeight w:val="354" w:hRule="atLeast"/>
          <w:jc w:val="center"/>
        </w:trPr>
        <w:tc>
          <w:tcPr>
            <w:tcW w:w="1290" w:type="dxa"/>
            <w:vMerge w:val="continue"/>
            <w:tcBorders>
              <w:tl2br w:val="nil"/>
              <w:tr2bl w:val="nil"/>
            </w:tcBorders>
            <w:shd w:val="clear" w:color="auto" w:fill="auto"/>
            <w:noWrap/>
            <w:tcMar>
              <w:top w:w="12" w:type="dxa"/>
              <w:left w:w="12" w:type="dxa"/>
              <w:right w:w="12" w:type="dxa"/>
            </w:tcMar>
            <w:vAlign w:val="center"/>
          </w:tcPr>
          <w:p>
            <w:pPr>
              <w:jc w:val="center"/>
              <w:rPr>
                <w:rFonts w:ascii="宋体" w:hAnsi="宋体" w:cs="宋体"/>
                <w:color w:val="000000"/>
                <w:sz w:val="22"/>
              </w:rPr>
            </w:pPr>
          </w:p>
        </w:tc>
        <w:tc>
          <w:tcPr>
            <w:tcW w:w="1261" w:type="dxa"/>
            <w:vMerge w:val="continue"/>
            <w:tcBorders>
              <w:tl2br w:val="nil"/>
              <w:tr2bl w:val="nil"/>
            </w:tcBorders>
            <w:shd w:val="clear" w:color="auto" w:fill="auto"/>
            <w:noWrap/>
            <w:tcMar>
              <w:top w:w="12" w:type="dxa"/>
              <w:left w:w="12" w:type="dxa"/>
              <w:right w:w="12" w:type="dxa"/>
            </w:tcMar>
            <w:vAlign w:val="center"/>
          </w:tcPr>
          <w:p>
            <w:pPr>
              <w:jc w:val="center"/>
              <w:rPr>
                <w:rFonts w:ascii="Arial" w:hAnsi="Arial" w:cs="Arial"/>
                <w:color w:val="000000"/>
                <w:kern w:val="0"/>
                <w:sz w:val="20"/>
                <w:szCs w:val="20"/>
                <w:lang w:bidi="ar"/>
              </w:rPr>
            </w:pPr>
          </w:p>
        </w:tc>
        <w:tc>
          <w:tcPr>
            <w:tcW w:w="6362" w:type="dxa"/>
            <w:tcBorders>
              <w:tl2br w:val="nil"/>
              <w:tr2bl w:val="nil"/>
            </w:tcBorders>
            <w:shd w:val="clear" w:color="auto" w:fill="auto"/>
            <w:noWrap/>
            <w:tcMar>
              <w:top w:w="12" w:type="dxa"/>
              <w:left w:w="12" w:type="dxa"/>
              <w:right w:w="12" w:type="dxa"/>
            </w:tcMar>
            <w:vAlign w:val="bottom"/>
          </w:tcPr>
          <w:p>
            <w:pPr>
              <w:widowControl/>
              <w:ind w:firstLine="440" w:firstLineChars="200"/>
              <w:jc w:val="left"/>
              <w:textAlignment w:val="bottom"/>
              <w:rPr>
                <w:rFonts w:ascii="Arial" w:hAnsi="Arial" w:cs="Arial"/>
                <w:color w:val="000000"/>
                <w:kern w:val="0"/>
                <w:sz w:val="20"/>
                <w:szCs w:val="20"/>
                <w:lang w:bidi="ar"/>
              </w:rPr>
            </w:pPr>
            <w:r>
              <w:rPr>
                <w:rFonts w:ascii="Arial" w:hAnsi="Arial" w:cs="Arial"/>
                <w:color w:val="000000"/>
                <w:kern w:val="0"/>
                <w:sz w:val="22"/>
                <w:lang w:bidi="ar"/>
              </w:rPr>
              <w:t>《社会工作综合能力精讲（中级）》本课程是由张祖平老师主讲的课程，本课程主要首先总结了此课程的各章节考试要点，接着讲述了社会工作概述、社会工作的价值观与专业伦理、人类行为与社会环境、社会工作理论、社区工作方法、社会工作行政以及社会工作研究</w:t>
            </w:r>
            <w:r>
              <w:rPr>
                <w:rFonts w:hint="eastAsia" w:ascii="Arial" w:hAnsi="Arial" w:cs="Arial"/>
                <w:color w:val="000000"/>
                <w:kern w:val="0"/>
                <w:sz w:val="22"/>
                <w:lang w:bidi="ar"/>
              </w:rPr>
              <w:t>。</w:t>
            </w:r>
          </w:p>
          <w:p>
            <w:pPr>
              <w:widowControl/>
              <w:ind w:firstLine="440" w:firstLineChars="200"/>
              <w:jc w:val="left"/>
              <w:textAlignment w:val="bottom"/>
              <w:rPr>
                <w:rFonts w:ascii="Arial" w:hAnsi="Arial" w:cs="Arial"/>
                <w:color w:val="000000"/>
                <w:kern w:val="0"/>
                <w:sz w:val="20"/>
                <w:szCs w:val="20"/>
                <w:lang w:bidi="ar"/>
              </w:rPr>
            </w:pPr>
            <w:r>
              <w:rPr>
                <w:rFonts w:hint="eastAsia" w:ascii="宋体" w:hAnsi="宋体" w:cs="宋体"/>
                <w:color w:val="2F5597" w:themeColor="accent1" w:themeShade="BF"/>
                <w:sz w:val="22"/>
              </w:rPr>
              <w:t>课程分类：社会工作者</w:t>
            </w:r>
          </w:p>
        </w:tc>
      </w:tr>
      <w:tr>
        <w:tblPrEx>
          <w:tblBorders>
            <w:top w:val="single" w:color="262626" w:themeColor="text1" w:themeTint="D8" w:sz="4" w:space="0"/>
            <w:left w:val="single" w:color="262626" w:themeColor="text1" w:themeTint="D8" w:sz="4" w:space="0"/>
            <w:bottom w:val="single" w:color="262626" w:themeColor="text1" w:themeTint="D8" w:sz="4" w:space="0"/>
            <w:right w:val="single" w:color="262626" w:themeColor="text1" w:themeTint="D8" w:sz="4" w:space="0"/>
            <w:insideH w:val="none" w:color="auto" w:sz="0" w:space="0"/>
            <w:insideV w:val="none" w:color="auto" w:sz="0" w:space="0"/>
          </w:tblBorders>
          <w:tblCellMar>
            <w:top w:w="0" w:type="dxa"/>
            <w:left w:w="0" w:type="dxa"/>
            <w:bottom w:w="0" w:type="dxa"/>
            <w:right w:w="0" w:type="dxa"/>
          </w:tblCellMar>
        </w:tblPrEx>
        <w:trPr>
          <w:trHeight w:val="354" w:hRule="atLeast"/>
          <w:jc w:val="center"/>
        </w:trPr>
        <w:tc>
          <w:tcPr>
            <w:tcW w:w="1290" w:type="dxa"/>
            <w:vMerge w:val="continue"/>
            <w:tcBorders>
              <w:tl2br w:val="nil"/>
              <w:tr2bl w:val="nil"/>
            </w:tcBorders>
            <w:shd w:val="clear" w:color="auto" w:fill="auto"/>
            <w:noWrap/>
            <w:tcMar>
              <w:top w:w="12" w:type="dxa"/>
              <w:left w:w="12" w:type="dxa"/>
              <w:right w:w="12" w:type="dxa"/>
            </w:tcMar>
            <w:vAlign w:val="center"/>
          </w:tcPr>
          <w:p>
            <w:pPr>
              <w:jc w:val="center"/>
              <w:rPr>
                <w:rFonts w:ascii="宋体" w:hAnsi="宋体" w:cs="宋体"/>
                <w:color w:val="000000"/>
                <w:sz w:val="22"/>
              </w:rPr>
            </w:pPr>
          </w:p>
        </w:tc>
        <w:tc>
          <w:tcPr>
            <w:tcW w:w="1261" w:type="dxa"/>
            <w:vMerge w:val="restart"/>
            <w:tcBorders>
              <w:tl2br w:val="nil"/>
              <w:tr2bl w:val="nil"/>
            </w:tcBorders>
            <w:shd w:val="clear" w:color="auto" w:fill="auto"/>
            <w:noWrap/>
            <w:tcMar>
              <w:top w:w="12" w:type="dxa"/>
              <w:left w:w="12" w:type="dxa"/>
              <w:right w:w="12" w:type="dxa"/>
            </w:tcMar>
            <w:vAlign w:val="center"/>
          </w:tcPr>
          <w:p>
            <w:pPr>
              <w:jc w:val="center"/>
              <w:rPr>
                <w:rFonts w:ascii="宋体" w:hAnsi="宋体" w:cs="宋体"/>
                <w:color w:val="000000"/>
                <w:sz w:val="22"/>
              </w:rPr>
            </w:pPr>
            <w:r>
              <w:rPr>
                <w:rFonts w:ascii="Arial" w:hAnsi="Arial" w:cs="Arial"/>
                <w:color w:val="000000"/>
                <w:kern w:val="0"/>
                <w:sz w:val="20"/>
                <w:szCs w:val="20"/>
                <w:lang w:bidi="ar"/>
              </w:rPr>
              <w:t>医药卫生</w:t>
            </w:r>
          </w:p>
        </w:tc>
        <w:tc>
          <w:tcPr>
            <w:tcW w:w="6362" w:type="dxa"/>
            <w:tcBorders>
              <w:tl2br w:val="nil"/>
              <w:tr2bl w:val="nil"/>
            </w:tcBorders>
            <w:shd w:val="clear" w:color="auto" w:fill="auto"/>
            <w:noWrap/>
            <w:tcMar>
              <w:top w:w="12" w:type="dxa"/>
              <w:left w:w="12" w:type="dxa"/>
              <w:right w:w="12" w:type="dxa"/>
            </w:tcMar>
            <w:vAlign w:val="center"/>
          </w:tcPr>
          <w:p>
            <w:pPr>
              <w:ind w:firstLine="440" w:firstLineChars="200"/>
              <w:jc w:val="left"/>
              <w:rPr>
                <w:rFonts w:ascii="宋体" w:hAnsi="宋体" w:cs="宋体"/>
                <w:color w:val="000000"/>
                <w:sz w:val="22"/>
              </w:rPr>
            </w:pPr>
            <w:r>
              <w:rPr>
                <w:rFonts w:hint="eastAsia" w:ascii="宋体" w:hAnsi="宋体" w:cs="宋体"/>
                <w:color w:val="000000"/>
                <w:sz w:val="22"/>
              </w:rPr>
              <w:t>《健康管理师课程 基础知识》：健康管理师职业定义：从事对人群或个人健康和疾病的监测、分析、评估以及健康维护和健康促进的专业人员。本节课主要是讲述了健康管理师课程的基础知识，一共分为十六章详细讲解了这门课程的知识要点及考试内容。</w:t>
            </w:r>
          </w:p>
          <w:p>
            <w:pPr>
              <w:ind w:firstLine="440" w:firstLineChars="200"/>
              <w:jc w:val="left"/>
              <w:rPr>
                <w:rFonts w:ascii="宋体" w:hAnsi="宋体" w:cs="宋体"/>
                <w:color w:val="000000"/>
                <w:sz w:val="22"/>
              </w:rPr>
            </w:pPr>
            <w:r>
              <w:rPr>
                <w:rFonts w:hint="eastAsia" w:ascii="宋体" w:hAnsi="宋体" w:cs="宋体"/>
                <w:color w:val="2F5597" w:themeColor="accent1" w:themeShade="BF"/>
                <w:sz w:val="22"/>
              </w:rPr>
              <w:t>课程分类：卫生资格</w:t>
            </w:r>
          </w:p>
        </w:tc>
      </w:tr>
      <w:tr>
        <w:tblPrEx>
          <w:tblBorders>
            <w:top w:val="single" w:color="262626" w:themeColor="text1" w:themeTint="D8" w:sz="4" w:space="0"/>
            <w:left w:val="single" w:color="262626" w:themeColor="text1" w:themeTint="D8" w:sz="4" w:space="0"/>
            <w:bottom w:val="single" w:color="262626" w:themeColor="text1" w:themeTint="D8" w:sz="4" w:space="0"/>
            <w:right w:val="single" w:color="262626" w:themeColor="text1" w:themeTint="D8" w:sz="4" w:space="0"/>
            <w:insideH w:val="none" w:color="auto" w:sz="0" w:space="0"/>
            <w:insideV w:val="none" w:color="auto" w:sz="0" w:space="0"/>
          </w:tblBorders>
          <w:tblCellMar>
            <w:top w:w="0" w:type="dxa"/>
            <w:left w:w="0" w:type="dxa"/>
            <w:bottom w:w="0" w:type="dxa"/>
            <w:right w:w="0" w:type="dxa"/>
          </w:tblCellMar>
        </w:tblPrEx>
        <w:trPr>
          <w:trHeight w:val="354" w:hRule="atLeast"/>
          <w:jc w:val="center"/>
        </w:trPr>
        <w:tc>
          <w:tcPr>
            <w:tcW w:w="1290" w:type="dxa"/>
            <w:vMerge w:val="continue"/>
            <w:tcBorders>
              <w:tl2br w:val="nil"/>
              <w:tr2bl w:val="nil"/>
            </w:tcBorders>
            <w:shd w:val="clear" w:color="auto" w:fill="auto"/>
            <w:noWrap/>
            <w:tcMar>
              <w:top w:w="12" w:type="dxa"/>
              <w:left w:w="12" w:type="dxa"/>
              <w:right w:w="12" w:type="dxa"/>
            </w:tcMar>
            <w:vAlign w:val="center"/>
          </w:tcPr>
          <w:p>
            <w:pPr>
              <w:jc w:val="center"/>
              <w:rPr>
                <w:rFonts w:ascii="宋体" w:hAnsi="宋体" w:cs="宋体"/>
                <w:color w:val="000000"/>
                <w:sz w:val="22"/>
              </w:rPr>
            </w:pPr>
          </w:p>
        </w:tc>
        <w:tc>
          <w:tcPr>
            <w:tcW w:w="1261" w:type="dxa"/>
            <w:vMerge w:val="continue"/>
            <w:tcBorders>
              <w:tl2br w:val="nil"/>
              <w:tr2bl w:val="nil"/>
            </w:tcBorders>
            <w:shd w:val="clear" w:color="auto" w:fill="auto"/>
            <w:noWrap/>
            <w:tcMar>
              <w:top w:w="12" w:type="dxa"/>
              <w:left w:w="12" w:type="dxa"/>
              <w:right w:w="12" w:type="dxa"/>
            </w:tcMar>
            <w:vAlign w:val="center"/>
          </w:tcPr>
          <w:p>
            <w:pPr>
              <w:jc w:val="center"/>
              <w:rPr>
                <w:rFonts w:ascii="Arial" w:hAnsi="Arial" w:cs="Arial"/>
                <w:color w:val="000000"/>
                <w:kern w:val="0"/>
                <w:sz w:val="20"/>
                <w:szCs w:val="20"/>
                <w:lang w:bidi="ar"/>
              </w:rPr>
            </w:pPr>
          </w:p>
        </w:tc>
        <w:tc>
          <w:tcPr>
            <w:tcW w:w="6362" w:type="dxa"/>
            <w:tcBorders>
              <w:tl2br w:val="nil"/>
              <w:tr2bl w:val="nil"/>
            </w:tcBorders>
            <w:shd w:val="clear" w:color="auto" w:fill="auto"/>
            <w:noWrap/>
            <w:tcMar>
              <w:top w:w="12" w:type="dxa"/>
              <w:left w:w="12" w:type="dxa"/>
              <w:right w:w="12" w:type="dxa"/>
            </w:tcMar>
            <w:vAlign w:val="center"/>
          </w:tcPr>
          <w:p>
            <w:pPr>
              <w:ind w:firstLine="440" w:firstLineChars="200"/>
              <w:jc w:val="left"/>
              <w:rPr>
                <w:rFonts w:ascii="宋体" w:hAnsi="宋体" w:cs="宋体"/>
                <w:color w:val="000000"/>
                <w:sz w:val="22"/>
              </w:rPr>
            </w:pPr>
            <w:r>
              <w:rPr>
                <w:rFonts w:hint="eastAsia" w:ascii="宋体" w:hAnsi="宋体" w:cs="宋体"/>
                <w:color w:val="000000"/>
                <w:sz w:val="22"/>
              </w:rPr>
              <w:t>《健康管理师课程技能》：本节课主要是讲述了健康管理师课程的技能，一共分为五章详细讲解了这门课程的知识要点及考试内容，主要包括健康检测、健康风险评估和分析、健康指导、健康危险因素干扰。</w:t>
            </w:r>
          </w:p>
          <w:p>
            <w:pPr>
              <w:ind w:firstLine="440" w:firstLineChars="200"/>
              <w:jc w:val="left"/>
              <w:rPr>
                <w:rFonts w:ascii="宋体" w:hAnsi="宋体" w:cs="宋体"/>
                <w:color w:val="000000"/>
                <w:sz w:val="22"/>
              </w:rPr>
            </w:pPr>
            <w:r>
              <w:rPr>
                <w:rFonts w:hint="eastAsia" w:ascii="宋体" w:hAnsi="宋体" w:cs="宋体"/>
                <w:color w:val="2F5597" w:themeColor="accent1" w:themeShade="BF"/>
                <w:sz w:val="22"/>
              </w:rPr>
              <w:t>课程分类：卫生资格</w:t>
            </w:r>
          </w:p>
        </w:tc>
      </w:tr>
      <w:tr>
        <w:tblPrEx>
          <w:tblBorders>
            <w:top w:val="single" w:color="262626" w:themeColor="text1" w:themeTint="D8" w:sz="4" w:space="0"/>
            <w:left w:val="single" w:color="262626" w:themeColor="text1" w:themeTint="D8" w:sz="4" w:space="0"/>
            <w:bottom w:val="single" w:color="262626" w:themeColor="text1" w:themeTint="D8" w:sz="4" w:space="0"/>
            <w:right w:val="single" w:color="262626" w:themeColor="text1" w:themeTint="D8" w:sz="4" w:space="0"/>
            <w:insideH w:val="none" w:color="auto" w:sz="0" w:space="0"/>
            <w:insideV w:val="none" w:color="auto" w:sz="0" w:space="0"/>
          </w:tblBorders>
          <w:tblCellMar>
            <w:top w:w="0" w:type="dxa"/>
            <w:left w:w="0" w:type="dxa"/>
            <w:bottom w:w="0" w:type="dxa"/>
            <w:right w:w="0" w:type="dxa"/>
          </w:tblCellMar>
        </w:tblPrEx>
        <w:trPr>
          <w:trHeight w:val="354" w:hRule="atLeast"/>
          <w:jc w:val="center"/>
        </w:trPr>
        <w:tc>
          <w:tcPr>
            <w:tcW w:w="1290" w:type="dxa"/>
            <w:vMerge w:val="continue"/>
            <w:tcBorders>
              <w:tl2br w:val="nil"/>
              <w:tr2bl w:val="nil"/>
            </w:tcBorders>
            <w:shd w:val="clear" w:color="auto" w:fill="auto"/>
            <w:noWrap/>
            <w:tcMar>
              <w:top w:w="12" w:type="dxa"/>
              <w:left w:w="12" w:type="dxa"/>
              <w:right w:w="12" w:type="dxa"/>
            </w:tcMar>
            <w:vAlign w:val="center"/>
          </w:tcPr>
          <w:p>
            <w:pPr>
              <w:jc w:val="center"/>
              <w:rPr>
                <w:rFonts w:ascii="宋体" w:hAnsi="宋体" w:cs="宋体"/>
                <w:color w:val="000000"/>
                <w:sz w:val="22"/>
              </w:rPr>
            </w:pPr>
          </w:p>
        </w:tc>
        <w:tc>
          <w:tcPr>
            <w:tcW w:w="1261" w:type="dxa"/>
            <w:vMerge w:val="restart"/>
            <w:tcBorders>
              <w:tl2br w:val="nil"/>
              <w:tr2bl w:val="nil"/>
            </w:tcBorders>
            <w:shd w:val="clear" w:color="auto" w:fill="auto"/>
            <w:noWrap/>
            <w:tcMar>
              <w:top w:w="12" w:type="dxa"/>
              <w:left w:w="12" w:type="dxa"/>
              <w:right w:w="12" w:type="dxa"/>
            </w:tcMar>
            <w:vAlign w:val="center"/>
          </w:tcPr>
          <w:p>
            <w:pPr>
              <w:jc w:val="center"/>
              <w:rPr>
                <w:rFonts w:ascii="宋体" w:hAnsi="宋体" w:cs="宋体"/>
                <w:color w:val="000000"/>
                <w:sz w:val="22"/>
              </w:rPr>
            </w:pPr>
            <w:r>
              <w:rPr>
                <w:rFonts w:ascii="Arial" w:hAnsi="Arial" w:cs="Arial"/>
                <w:color w:val="000000"/>
                <w:kern w:val="0"/>
                <w:sz w:val="20"/>
                <w:szCs w:val="20"/>
                <w:lang w:bidi="ar"/>
              </w:rPr>
              <w:t>财会经贸</w:t>
            </w:r>
          </w:p>
        </w:tc>
        <w:tc>
          <w:tcPr>
            <w:tcW w:w="6362" w:type="dxa"/>
            <w:tcBorders>
              <w:tl2br w:val="nil"/>
              <w:tr2bl w:val="nil"/>
            </w:tcBorders>
            <w:shd w:val="clear" w:color="auto" w:fill="auto"/>
            <w:noWrap/>
            <w:tcMar>
              <w:top w:w="12" w:type="dxa"/>
              <w:left w:w="12" w:type="dxa"/>
              <w:right w:w="12" w:type="dxa"/>
            </w:tcMar>
            <w:vAlign w:val="center"/>
          </w:tcPr>
          <w:p>
            <w:pPr>
              <w:ind w:firstLine="440" w:firstLineChars="200"/>
              <w:jc w:val="left"/>
              <w:rPr>
                <w:rFonts w:ascii="宋体" w:hAnsi="宋体" w:cs="宋体"/>
                <w:color w:val="000000"/>
                <w:sz w:val="22"/>
              </w:rPr>
            </w:pPr>
            <w:r>
              <w:rPr>
                <w:rFonts w:hint="eastAsia" w:ascii="宋体" w:hAnsi="宋体" w:cs="宋体"/>
                <w:color w:val="000000"/>
                <w:sz w:val="22"/>
              </w:rPr>
              <w:t>《2020年会计初级职称考试 《经济法基础》精讲班》：本课程通过历年真题我们可以总结归纳出核心的考点，就《经济法基础》这部分的核心考点整理得出，相关专业考生应当理解并记忆。</w:t>
            </w:r>
          </w:p>
          <w:p>
            <w:pPr>
              <w:ind w:firstLine="440" w:firstLineChars="200"/>
              <w:jc w:val="left"/>
              <w:rPr>
                <w:rFonts w:ascii="宋体" w:hAnsi="宋体" w:cs="宋体"/>
                <w:color w:val="000000"/>
                <w:sz w:val="22"/>
              </w:rPr>
            </w:pPr>
            <w:r>
              <w:rPr>
                <w:rFonts w:hint="eastAsia" w:ascii="宋体" w:hAnsi="宋体" w:cs="宋体"/>
                <w:color w:val="2F5597" w:themeColor="accent1" w:themeShade="BF"/>
                <w:sz w:val="22"/>
              </w:rPr>
              <w:t>课程分类：会计职称</w:t>
            </w:r>
          </w:p>
        </w:tc>
      </w:tr>
      <w:tr>
        <w:tblPrEx>
          <w:tblBorders>
            <w:top w:val="single" w:color="262626" w:themeColor="text1" w:themeTint="D8" w:sz="4" w:space="0"/>
            <w:left w:val="single" w:color="262626" w:themeColor="text1" w:themeTint="D8" w:sz="4" w:space="0"/>
            <w:bottom w:val="single" w:color="262626" w:themeColor="text1" w:themeTint="D8" w:sz="4" w:space="0"/>
            <w:right w:val="single" w:color="262626" w:themeColor="text1" w:themeTint="D8" w:sz="4" w:space="0"/>
            <w:insideH w:val="none" w:color="auto" w:sz="0" w:space="0"/>
            <w:insideV w:val="none" w:color="auto" w:sz="0" w:space="0"/>
          </w:tblBorders>
          <w:tblCellMar>
            <w:top w:w="0" w:type="dxa"/>
            <w:left w:w="0" w:type="dxa"/>
            <w:bottom w:w="0" w:type="dxa"/>
            <w:right w:w="0" w:type="dxa"/>
          </w:tblCellMar>
        </w:tblPrEx>
        <w:trPr>
          <w:trHeight w:val="354" w:hRule="atLeast"/>
          <w:jc w:val="center"/>
        </w:trPr>
        <w:tc>
          <w:tcPr>
            <w:tcW w:w="1290" w:type="dxa"/>
            <w:vMerge w:val="continue"/>
            <w:tcBorders>
              <w:tl2br w:val="nil"/>
              <w:tr2bl w:val="nil"/>
            </w:tcBorders>
            <w:shd w:val="clear" w:color="auto" w:fill="auto"/>
            <w:noWrap/>
            <w:tcMar>
              <w:top w:w="12" w:type="dxa"/>
              <w:left w:w="12" w:type="dxa"/>
              <w:right w:w="12" w:type="dxa"/>
            </w:tcMar>
            <w:vAlign w:val="center"/>
          </w:tcPr>
          <w:p>
            <w:pPr>
              <w:jc w:val="center"/>
              <w:rPr>
                <w:rFonts w:ascii="宋体" w:hAnsi="宋体" w:cs="宋体"/>
                <w:color w:val="000000"/>
                <w:sz w:val="22"/>
              </w:rPr>
            </w:pPr>
          </w:p>
        </w:tc>
        <w:tc>
          <w:tcPr>
            <w:tcW w:w="1261" w:type="dxa"/>
            <w:vMerge w:val="continue"/>
            <w:tcBorders>
              <w:tl2br w:val="nil"/>
              <w:tr2bl w:val="nil"/>
            </w:tcBorders>
            <w:shd w:val="clear" w:color="auto" w:fill="auto"/>
            <w:noWrap/>
            <w:tcMar>
              <w:top w:w="12" w:type="dxa"/>
              <w:left w:w="12" w:type="dxa"/>
              <w:right w:w="12" w:type="dxa"/>
            </w:tcMar>
            <w:vAlign w:val="center"/>
          </w:tcPr>
          <w:p>
            <w:pPr>
              <w:jc w:val="center"/>
              <w:rPr>
                <w:rFonts w:ascii="Arial" w:hAnsi="Arial" w:cs="Arial"/>
                <w:color w:val="000000"/>
                <w:kern w:val="0"/>
                <w:sz w:val="20"/>
                <w:szCs w:val="20"/>
                <w:lang w:bidi="ar"/>
              </w:rPr>
            </w:pPr>
          </w:p>
        </w:tc>
        <w:tc>
          <w:tcPr>
            <w:tcW w:w="6362" w:type="dxa"/>
            <w:tcBorders>
              <w:tl2br w:val="nil"/>
              <w:tr2bl w:val="nil"/>
            </w:tcBorders>
            <w:shd w:val="clear" w:color="auto" w:fill="auto"/>
            <w:noWrap/>
            <w:tcMar>
              <w:top w:w="12" w:type="dxa"/>
              <w:left w:w="12" w:type="dxa"/>
              <w:right w:w="12" w:type="dxa"/>
            </w:tcMar>
            <w:vAlign w:val="center"/>
          </w:tcPr>
          <w:p>
            <w:pPr>
              <w:ind w:firstLine="440" w:firstLineChars="200"/>
              <w:jc w:val="left"/>
              <w:rPr>
                <w:rFonts w:ascii="宋体" w:hAnsi="宋体" w:cs="宋体"/>
                <w:color w:val="000000"/>
                <w:sz w:val="22"/>
              </w:rPr>
            </w:pPr>
            <w:r>
              <w:rPr>
                <w:rFonts w:hint="eastAsia" w:ascii="宋体" w:hAnsi="宋体" w:cs="宋体"/>
                <w:color w:val="000000"/>
                <w:sz w:val="22"/>
              </w:rPr>
              <w:t>《2020年初级会计职称《初级会计实务》》：本课程在全面讲解该教材重点、难点的同时，穿插并解析历年考试真题，有助于学员在学习教材知识的同时了解与教材相关的真题出题点、命题规律，并掌握解题思路。</w:t>
            </w:r>
          </w:p>
          <w:p>
            <w:pPr>
              <w:ind w:firstLine="440" w:firstLineChars="200"/>
              <w:jc w:val="left"/>
              <w:rPr>
                <w:rFonts w:ascii="宋体" w:hAnsi="宋体" w:cs="宋体"/>
                <w:color w:val="000000"/>
                <w:sz w:val="22"/>
              </w:rPr>
            </w:pPr>
            <w:r>
              <w:rPr>
                <w:rFonts w:hint="eastAsia" w:ascii="宋体" w:hAnsi="宋体" w:cs="宋体"/>
                <w:color w:val="2F5597" w:themeColor="accent1" w:themeShade="BF"/>
                <w:sz w:val="22"/>
              </w:rPr>
              <w:t>课程分类：会计职称</w:t>
            </w:r>
          </w:p>
        </w:tc>
      </w:tr>
    </w:tbl>
    <w:p/>
    <w:p/>
    <w:p/>
    <w:p>
      <w:pPr>
        <w:rPr>
          <w:sz w:val="28"/>
          <w:szCs w:val="28"/>
        </w:rPr>
      </w:pPr>
      <w:r>
        <w:rPr>
          <w:rFonts w:hint="eastAsia"/>
          <w:sz w:val="28"/>
          <w:szCs w:val="28"/>
        </w:rPr>
        <w:t>数据商：北京爱迪科森教育科技股份有限公司</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C4D489"/>
    <w:multiLevelType w:val="multilevel"/>
    <w:tmpl w:val="83C4D489"/>
    <w:lvl w:ilvl="0" w:tentative="0">
      <w:start w:val="1"/>
      <w:numFmt w:val="chineseCounting"/>
      <w:suff w:val="nothing"/>
      <w:lvlText w:val="%1、"/>
      <w:lvlJc w:val="left"/>
      <w:pPr>
        <w:ind w:left="0" w:firstLine="400"/>
      </w:pPr>
      <w:rPr>
        <w:rFonts w:hint="eastAsia"/>
      </w:rPr>
    </w:lvl>
    <w:lvl w:ilvl="1" w:tentative="0">
      <w:start w:val="1"/>
      <w:numFmt w:val="decimal"/>
      <w:suff w:val="nothing"/>
      <w:lvlText w:val="%2．"/>
      <w:lvlJc w:val="left"/>
      <w:pPr>
        <w:ind w:left="0" w:firstLine="400"/>
      </w:pPr>
      <w:rPr>
        <w:rFonts w:hint="eastAsia"/>
      </w:rPr>
    </w:lvl>
    <w:lvl w:ilvl="2" w:tentative="0">
      <w:start w:val="1"/>
      <w:numFmt w:val="decimal"/>
      <w:suff w:val="nothing"/>
      <w:lvlText w:val="（%3）"/>
      <w:lvlJc w:val="left"/>
      <w:pPr>
        <w:ind w:left="0" w:firstLine="402"/>
      </w:pPr>
      <w:rPr>
        <w:rFonts w:hint="eastAsia"/>
      </w:rPr>
    </w:lvl>
    <w:lvl w:ilvl="3" w:tentative="0">
      <w:start w:val="1"/>
      <w:numFmt w:val="decimalEnclosedCircleChinese"/>
      <w:suff w:val="nothing"/>
      <w:lvlText w:val="%4 "/>
      <w:lvlJc w:val="left"/>
      <w:pPr>
        <w:ind w:left="0" w:firstLine="402"/>
      </w:pPr>
      <w:rPr>
        <w:rFonts w:hint="eastAsia"/>
      </w:rPr>
    </w:lvl>
    <w:lvl w:ilvl="4" w:tentative="0">
      <w:start w:val="1"/>
      <w:numFmt w:val="decimal"/>
      <w:suff w:val="nothing"/>
      <w:lvlText w:val="%5）"/>
      <w:lvlJc w:val="left"/>
      <w:pPr>
        <w:ind w:left="0" w:firstLine="402"/>
      </w:pPr>
      <w:rPr>
        <w:rFonts w:hint="eastAsia"/>
      </w:rPr>
    </w:lvl>
    <w:lvl w:ilvl="5" w:tentative="0">
      <w:start w:val="1"/>
      <w:numFmt w:val="lowerLetter"/>
      <w:suff w:val="nothing"/>
      <w:lvlText w:val="%6．"/>
      <w:lvlJc w:val="left"/>
      <w:pPr>
        <w:ind w:left="0" w:firstLine="402"/>
      </w:pPr>
      <w:rPr>
        <w:rFonts w:hint="eastAsia"/>
      </w:rPr>
    </w:lvl>
    <w:lvl w:ilvl="6" w:tentative="0">
      <w:start w:val="1"/>
      <w:numFmt w:val="lowerLetter"/>
      <w:suff w:val="nothing"/>
      <w:lvlText w:val="%7）"/>
      <w:lvlJc w:val="left"/>
      <w:pPr>
        <w:ind w:left="0" w:firstLine="402"/>
      </w:pPr>
      <w:rPr>
        <w:rFonts w:hint="eastAsia"/>
      </w:rPr>
    </w:lvl>
    <w:lvl w:ilvl="7" w:tentative="0">
      <w:start w:val="1"/>
      <w:numFmt w:val="lowerRoman"/>
      <w:suff w:val="nothing"/>
      <w:lvlText w:val="%8. "/>
      <w:lvlJc w:val="left"/>
      <w:pPr>
        <w:ind w:left="0" w:firstLine="402"/>
      </w:pPr>
      <w:rPr>
        <w:rFonts w:hint="eastAsia"/>
      </w:rPr>
    </w:lvl>
    <w:lvl w:ilvl="8" w:tentative="0">
      <w:start w:val="1"/>
      <w:numFmt w:val="lowerRoman"/>
      <w:suff w:val="nothing"/>
      <w:lvlText w:val="%9）"/>
      <w:lvlJc w:val="left"/>
      <w:pPr>
        <w:ind w:left="0" w:firstLine="402"/>
      </w:pPr>
      <w:rPr>
        <w:rFonts w:hint="eastAsia"/>
      </w:rPr>
    </w:lvl>
  </w:abstractNum>
  <w:abstractNum w:abstractNumId="1">
    <w:nsid w:val="DE32952C"/>
    <w:multiLevelType w:val="singleLevel"/>
    <w:tmpl w:val="DE32952C"/>
    <w:lvl w:ilvl="0" w:tentative="0">
      <w:start w:val="1"/>
      <w:numFmt w:val="decimal"/>
      <w:lvlText w:val="%1."/>
      <w:lvlJc w:val="left"/>
      <w:pPr>
        <w:ind w:left="425" w:hanging="425"/>
      </w:pPr>
      <w:rPr>
        <w:rFonts w:hint="default"/>
      </w:rPr>
    </w:lvl>
  </w:abstractNum>
  <w:abstractNum w:abstractNumId="2">
    <w:nsid w:val="1B1EE0A9"/>
    <w:multiLevelType w:val="singleLevel"/>
    <w:tmpl w:val="1B1EE0A9"/>
    <w:lvl w:ilvl="0" w:tentative="0">
      <w:start w:val="1"/>
      <w:numFmt w:val="bullet"/>
      <w:lvlText w:val=""/>
      <w:lvlJc w:val="left"/>
      <w:pPr>
        <w:ind w:left="420" w:hanging="420"/>
      </w:pPr>
      <w:rPr>
        <w:rFonts w:hint="default" w:ascii="Wingdings" w:hAnsi="Wingdings"/>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A27"/>
    <w:rsid w:val="000109B4"/>
    <w:rsid w:val="000460B6"/>
    <w:rsid w:val="00076367"/>
    <w:rsid w:val="001A1DDD"/>
    <w:rsid w:val="002F3F3F"/>
    <w:rsid w:val="00335146"/>
    <w:rsid w:val="005F2689"/>
    <w:rsid w:val="006C5774"/>
    <w:rsid w:val="007830DE"/>
    <w:rsid w:val="00786A24"/>
    <w:rsid w:val="009255C9"/>
    <w:rsid w:val="00A46768"/>
    <w:rsid w:val="00B34A6B"/>
    <w:rsid w:val="00C424FF"/>
    <w:rsid w:val="00E23889"/>
    <w:rsid w:val="00E61B8A"/>
    <w:rsid w:val="00F20A35"/>
    <w:rsid w:val="00F24BBE"/>
    <w:rsid w:val="00FA44FB"/>
    <w:rsid w:val="035D4885"/>
    <w:rsid w:val="06256193"/>
    <w:rsid w:val="1E6503D3"/>
    <w:rsid w:val="23391193"/>
    <w:rsid w:val="264F3BEB"/>
    <w:rsid w:val="4D356CF6"/>
    <w:rsid w:val="564A07EE"/>
    <w:rsid w:val="76236F5D"/>
    <w:rsid w:val="76AE7FC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paragraph" w:styleId="2">
    <w:name w:val="heading 2"/>
    <w:basedOn w:val="1"/>
    <w:next w:val="1"/>
    <w:link w:val="11"/>
    <w:qFormat/>
    <w:uiPriority w:val="0"/>
    <w:pPr>
      <w:keepNext/>
      <w:keepLines/>
      <w:spacing w:before="100" w:after="100" w:line="360" w:lineRule="auto"/>
      <w:outlineLvl w:val="1"/>
    </w:pPr>
    <w:rPr>
      <w:rFonts w:ascii="Cambria" w:hAnsi="Cambria"/>
      <w:b/>
      <w:bCs/>
      <w:sz w:val="28"/>
      <w:szCs w:val="32"/>
    </w:rPr>
  </w:style>
  <w:style w:type="paragraph" w:styleId="3">
    <w:name w:val="heading 3"/>
    <w:basedOn w:val="1"/>
    <w:next w:val="1"/>
    <w:link w:val="12"/>
    <w:qFormat/>
    <w:uiPriority w:val="0"/>
    <w:pPr>
      <w:keepNext/>
      <w:keepLines/>
      <w:spacing w:before="40" w:after="40" w:line="416" w:lineRule="auto"/>
      <w:outlineLvl w:val="2"/>
    </w:pPr>
    <w:rPr>
      <w:rFonts w:ascii="Times New Roman" w:hAnsi="Times New Roman"/>
      <w:b/>
      <w:bCs/>
      <w:sz w:val="24"/>
      <w:szCs w:val="32"/>
    </w:rPr>
  </w:style>
  <w:style w:type="character" w:default="1" w:styleId="8">
    <w:name w:val="Default Paragraph Font"/>
    <w:semiHidden/>
    <w:unhideWhenUsed/>
    <w:uiPriority w:val="1"/>
  </w:style>
  <w:style w:type="table" w:default="1" w:styleId="6">
    <w:name w:val="Normal Table"/>
    <w:semiHidden/>
    <w:unhideWhenUsed/>
    <w:uiPriority w:val="99"/>
    <w:tblPr>
      <w:tblCellMar>
        <w:top w:w="0" w:type="dxa"/>
        <w:left w:w="108" w:type="dxa"/>
        <w:bottom w:w="0" w:type="dxa"/>
        <w:right w:w="108" w:type="dxa"/>
      </w:tblCellMar>
    </w:tblPr>
  </w:style>
  <w:style w:type="paragraph" w:styleId="4">
    <w:name w:val="footer"/>
    <w:basedOn w:val="1"/>
    <w:link w:val="10"/>
    <w:unhideWhenUsed/>
    <w:uiPriority w:val="99"/>
    <w:pPr>
      <w:tabs>
        <w:tab w:val="center" w:pos="4153"/>
        <w:tab w:val="right" w:pos="8306"/>
      </w:tabs>
      <w:snapToGrid w:val="0"/>
      <w:jc w:val="left"/>
    </w:pPr>
    <w:rPr>
      <w:sz w:val="18"/>
      <w:szCs w:val="18"/>
    </w:rPr>
  </w:style>
  <w:style w:type="paragraph" w:styleId="5">
    <w:name w:val="header"/>
    <w:basedOn w:val="1"/>
    <w:link w:val="9"/>
    <w:unhideWhenUsed/>
    <w:uiPriority w:val="99"/>
    <w:pPr>
      <w:pBdr>
        <w:bottom w:val="single" w:color="auto" w:sz="6" w:space="1"/>
      </w:pBdr>
      <w:tabs>
        <w:tab w:val="center" w:pos="4153"/>
        <w:tab w:val="right" w:pos="8306"/>
      </w:tabs>
      <w:snapToGrid w:val="0"/>
      <w:jc w:val="center"/>
    </w:pPr>
    <w:rPr>
      <w:sz w:val="18"/>
      <w:szCs w:val="18"/>
    </w:rPr>
  </w:style>
  <w:style w:type="table" w:styleId="7">
    <w:name w:val="Table Grid"/>
    <w:basedOn w:val="6"/>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9">
    <w:name w:val="页眉 字符"/>
    <w:basedOn w:val="8"/>
    <w:link w:val="5"/>
    <w:uiPriority w:val="99"/>
    <w:rPr>
      <w:sz w:val="18"/>
      <w:szCs w:val="18"/>
    </w:rPr>
  </w:style>
  <w:style w:type="character" w:customStyle="1" w:styleId="10">
    <w:name w:val="页脚 字符"/>
    <w:basedOn w:val="8"/>
    <w:link w:val="4"/>
    <w:uiPriority w:val="99"/>
    <w:rPr>
      <w:sz w:val="18"/>
      <w:szCs w:val="18"/>
    </w:rPr>
  </w:style>
  <w:style w:type="character" w:customStyle="1" w:styleId="11">
    <w:name w:val="标题 2 字符"/>
    <w:basedOn w:val="8"/>
    <w:link w:val="2"/>
    <w:uiPriority w:val="0"/>
    <w:rPr>
      <w:rFonts w:ascii="Cambria" w:hAnsi="Cambria" w:eastAsia="宋体" w:cs="Times New Roman"/>
      <w:b/>
      <w:bCs/>
      <w:sz w:val="28"/>
      <w:szCs w:val="32"/>
    </w:rPr>
  </w:style>
  <w:style w:type="character" w:customStyle="1" w:styleId="12">
    <w:name w:val="标题 3 字符"/>
    <w:basedOn w:val="8"/>
    <w:link w:val="3"/>
    <w:uiPriority w:val="0"/>
    <w:rPr>
      <w:rFonts w:ascii="Times New Roman" w:hAnsi="Times New Roman" w:eastAsia="宋体" w:cs="Times New Roman"/>
      <w:b/>
      <w:bCs/>
      <w:sz w:val="24"/>
      <w:szCs w:val="32"/>
    </w:rPr>
  </w:style>
  <w:style w:type="paragraph" w:styleId="13">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customXml" Target="../customXml/item1.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10</Pages>
  <Words>988</Words>
  <Characters>5638</Characters>
  <Lines>46</Lines>
  <Paragraphs>13</Paragraphs>
  <TotalTime>73</TotalTime>
  <ScaleCrop>false</ScaleCrop>
  <LinksUpToDate>false</LinksUpToDate>
  <CharactersWithSpaces>6613</CharactersWithSpaces>
  <Application>WPS Office_11.1.0.10938_F1E327BC-269C-435d-A152-05C5408002CA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2020-08-09T12:06:00Z</dcterms:created>
  <dc:creator>316387889@qq.com</dc:creator>
  <cp:lastModifiedBy>SJ-PC</cp:lastModifiedBy>
  <dcterms:modified xsi:type="dcterms:W3CDTF">2021-10-27T01:40:38Z</dcterms:modified>
  <cp:revision>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6039FBCE72344FF19C4F393D24778F83</vt:lpwstr>
  </property>
</Properties>
</file>